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drawing>
          <wp:anchor distT="0" distB="0" distL="114300" distR="114300" simplePos="0" relativeHeight="251661312" behindDoc="0" locked="0" layoutInCell="1" allowOverlap="1">
            <wp:simplePos x="0" y="0"/>
            <wp:positionH relativeFrom="column">
              <wp:posOffset>3983355</wp:posOffset>
            </wp:positionH>
            <wp:positionV relativeFrom="paragraph">
              <wp:posOffset>-640080</wp:posOffset>
            </wp:positionV>
            <wp:extent cx="2074545" cy="739140"/>
            <wp:effectExtent l="0" t="0" r="0" b="0"/>
            <wp:wrapNone/>
            <wp:docPr id="2" name="图片 2"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期新vi短称(越秀新版)"/>
                    <pic:cNvPicPr>
                      <a:picLocks noChangeAspect="1"/>
                    </pic:cNvPicPr>
                  </pic:nvPicPr>
                  <pic:blipFill>
                    <a:blip r:embed="rId7"/>
                    <a:stretch>
                      <a:fillRect/>
                    </a:stretch>
                  </pic:blipFill>
                  <pic:spPr>
                    <a:xfrm>
                      <a:off x="0" y="0"/>
                      <a:ext cx="2074545" cy="739140"/>
                    </a:xfrm>
                    <a:prstGeom prst="rect">
                      <a:avLst/>
                    </a:prstGeom>
                    <a:noFill/>
                    <a:ln w="9525">
                      <a:noFill/>
                    </a:ln>
                  </pic:spPr>
                </pic:pic>
              </a:graphicData>
            </a:graphic>
          </wp:anchor>
        </w:drawing>
      </w:r>
      <w:r>
        <w:drawing>
          <wp:anchor distT="0" distB="0" distL="114300" distR="114300" simplePos="0" relativeHeight="251658240" behindDoc="1" locked="0" layoutInCell="1" allowOverlap="1">
            <wp:simplePos x="0" y="0"/>
            <wp:positionH relativeFrom="column">
              <wp:posOffset>-1143000</wp:posOffset>
            </wp:positionH>
            <wp:positionV relativeFrom="paragraph">
              <wp:posOffset>-990600</wp:posOffset>
            </wp:positionV>
            <wp:extent cx="7630160" cy="10797540"/>
            <wp:effectExtent l="0" t="0" r="8890" b="3810"/>
            <wp:wrapNone/>
            <wp:docPr id="3" name="图片 3" descr="新vi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vi封面"/>
                    <pic:cNvPicPr>
                      <a:picLocks noChangeAspect="1"/>
                    </pic:cNvPicPr>
                  </pic:nvPicPr>
                  <pic:blipFill>
                    <a:blip r:embed="rId8"/>
                    <a:stretch>
                      <a:fillRect/>
                    </a:stretch>
                  </pic:blipFill>
                  <pic:spPr>
                    <a:xfrm>
                      <a:off x="0" y="0"/>
                      <a:ext cx="7630160" cy="10797540"/>
                    </a:xfrm>
                    <a:prstGeom prst="rect">
                      <a:avLst/>
                    </a:prstGeom>
                    <a:noFill/>
                    <a:ln w="9525">
                      <a:noFill/>
                    </a:ln>
                  </pic:spPr>
                </pic:pic>
              </a:graphicData>
            </a:graphic>
          </wp:anchor>
        </w:drawing>
      </w:r>
      <w:r>
        <w:rPr>
          <w:rFonts w:hint="eastAsia"/>
        </w:rPr>
        <w:t xml:space="preserve"> </w:t>
      </w:r>
    </w:p>
    <w:p>
      <w:pPr>
        <w:pStyle w:val="8"/>
        <w:spacing w:line="360" w:lineRule="auto"/>
        <w:jc w:val="center"/>
        <w:rPr>
          <w:rFonts w:hint="eastAsia" w:ascii="新宋体" w:hAnsi="新宋体" w:eastAsia="新宋体"/>
          <w:color w:val="FFFFFF"/>
          <w:kern w:val="2"/>
          <w:sz w:val="36"/>
          <w:szCs w:val="36"/>
        </w:rPr>
      </w:pPr>
    </w:p>
    <w:p>
      <w:pPr>
        <w:pStyle w:val="8"/>
        <w:tabs>
          <w:tab w:val="left" w:pos="5145"/>
        </w:tabs>
        <w:spacing w:line="360" w:lineRule="auto"/>
        <w:jc w:val="left"/>
        <w:rPr>
          <w:rFonts w:hint="eastAsia" w:ascii="新宋体" w:hAnsi="新宋体" w:eastAsia="新宋体"/>
          <w:color w:val="FFFFFF"/>
          <w:kern w:val="2"/>
          <w:sz w:val="36"/>
          <w:szCs w:val="36"/>
        </w:rPr>
      </w:pPr>
      <w:r>
        <w:rPr>
          <w:rFonts w:ascii="新宋体" w:hAnsi="新宋体" w:eastAsia="新宋体"/>
          <w:color w:val="FFFFFF"/>
          <w:kern w:val="2"/>
          <w:sz w:val="36"/>
          <w:szCs w:val="36"/>
        </w:rPr>
        <w:tab/>
      </w: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r>
        <w:rPr>
          <w:color w:val="FFFFFF"/>
        </w:rPr>
        <mc:AlternateContent>
          <mc:Choice Requires="wps">
            <w:drawing>
              <wp:anchor distT="0" distB="0" distL="114300" distR="114300" simplePos="0" relativeHeight="251659264" behindDoc="0" locked="0" layoutInCell="1" allowOverlap="1">
                <wp:simplePos x="0" y="0"/>
                <wp:positionH relativeFrom="column">
                  <wp:posOffset>-1000760</wp:posOffset>
                </wp:positionH>
                <wp:positionV relativeFrom="paragraph">
                  <wp:posOffset>0</wp:posOffset>
                </wp:positionV>
                <wp:extent cx="7363460" cy="6584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63460" cy="658495"/>
                        </a:xfrm>
                        <a:prstGeom prst="rect">
                          <a:avLst/>
                        </a:prstGeom>
                        <a:noFill/>
                        <a:ln w="9525">
                          <a:noFill/>
                        </a:ln>
                      </wps:spPr>
                      <wps:txbx>
                        <w:txbxContent>
                          <w:p>
                            <w:pPr>
                              <w:spacing w:line="360" w:lineRule="auto"/>
                              <w:jc w:val="center"/>
                              <w:rPr>
                                <w:rFonts w:hint="eastAsia" w:ascii="黑体" w:hAnsi="微软雅黑" w:eastAsia="黑体"/>
                                <w:b/>
                                <w:color w:val="422100"/>
                                <w:sz w:val="52"/>
                                <w:szCs w:val="52"/>
                                <w:lang w:eastAsia="zh-CN"/>
                              </w:rPr>
                            </w:pPr>
                            <w:r>
                              <w:rPr>
                                <w:rFonts w:hint="eastAsia" w:ascii="黑体" w:hAnsi="微软雅黑" w:eastAsia="黑体"/>
                                <w:b/>
                                <w:color w:val="422100"/>
                                <w:sz w:val="52"/>
                                <w:szCs w:val="52"/>
                                <w:lang w:eastAsia="zh-CN"/>
                              </w:rPr>
                              <w:t>美联储紧缩步伐放缓</w:t>
                            </w:r>
                            <w:r>
                              <w:rPr>
                                <w:rFonts w:hint="eastAsia" w:ascii="黑体" w:hAnsi="微软雅黑" w:eastAsia="黑体"/>
                                <w:b/>
                                <w:color w:val="422100"/>
                                <w:sz w:val="52"/>
                                <w:szCs w:val="52"/>
                                <w:lang w:val="en-US" w:eastAsia="zh-CN"/>
                              </w:rPr>
                              <w:t xml:space="preserve"> 沪金短线小幅反弹</w:t>
                            </w:r>
                          </w:p>
                          <w:p>
                            <w:pPr>
                              <w:jc w:val="center"/>
                              <w:rPr>
                                <w:b/>
                                <w:sz w:val="28"/>
                                <w:szCs w:val="28"/>
                              </w:rPr>
                            </w:pPr>
                          </w:p>
                          <w:p>
                            <w:pPr>
                              <w:pStyle w:val="4"/>
                              <w:shd w:val="clear" w:color="auto" w:fill="FFFFFF"/>
                              <w:spacing w:line="524" w:lineRule="atLeast"/>
                              <w:jc w:val="center"/>
                              <w:textAlignment w:val="baseline"/>
                              <w:rPr>
                                <w:rFonts w:hint="eastAsia" w:ascii="黑体" w:hAnsi="微软雅黑" w:eastAsia="黑体"/>
                                <w:b/>
                                <w:color w:val="422100"/>
                                <w:sz w:val="52"/>
                                <w:szCs w:val="52"/>
                              </w:rPr>
                            </w:pPr>
                          </w:p>
                        </w:txbxContent>
                      </wps:txbx>
                      <wps:bodyPr upright="1"/>
                    </wps:wsp>
                  </a:graphicData>
                </a:graphic>
              </wp:anchor>
            </w:drawing>
          </mc:Choice>
          <mc:Fallback>
            <w:pict>
              <v:shape id="_x0000_s1026" o:spid="_x0000_s1026" o:spt="202" type="#_x0000_t202" style="position:absolute;left:0pt;margin-left:-78.8pt;margin-top:0pt;height:51.85pt;width:579.8pt;z-index:251659264;mso-width-relative:page;mso-height-relative:page;" filled="f" stroked="f" coordsize="21600,21600" o:gfxdata="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hSEst1gAAAAoBAAAPAAAAAAAAAAEAIAAAACIAAABk&#10;cnMvZG93bnJldi54bWxQSwECFAAUAAAACACHTuJA5T/2WpYBAAAJAwAADgAAAAAAAAABACAAAAAl&#10;AQAAZHJzL2Uyb0RvYy54bWxQSwUGAAAAAAYABgBZAQAALQUAAAAA&#10;">
                <v:fill on="f" focussize="0,0"/>
                <v:stroke on="f"/>
                <v:imagedata o:title=""/>
                <o:lock v:ext="edit" aspectratio="f"/>
                <v:textbox>
                  <w:txbxContent>
                    <w:p>
                      <w:pPr>
                        <w:spacing w:line="360" w:lineRule="auto"/>
                        <w:jc w:val="center"/>
                        <w:rPr>
                          <w:rFonts w:hint="eastAsia" w:ascii="黑体" w:hAnsi="微软雅黑" w:eastAsia="黑体"/>
                          <w:b/>
                          <w:color w:val="422100"/>
                          <w:sz w:val="52"/>
                          <w:szCs w:val="52"/>
                          <w:lang w:eastAsia="zh-CN"/>
                        </w:rPr>
                      </w:pPr>
                      <w:r>
                        <w:rPr>
                          <w:rFonts w:hint="eastAsia" w:ascii="黑体" w:hAnsi="微软雅黑" w:eastAsia="黑体"/>
                          <w:b/>
                          <w:color w:val="422100"/>
                          <w:sz w:val="52"/>
                          <w:szCs w:val="52"/>
                          <w:lang w:eastAsia="zh-CN"/>
                        </w:rPr>
                        <w:t>美联储紧缩步伐放缓</w:t>
                      </w:r>
                      <w:r>
                        <w:rPr>
                          <w:rFonts w:hint="eastAsia" w:ascii="黑体" w:hAnsi="微软雅黑" w:eastAsia="黑体"/>
                          <w:b/>
                          <w:color w:val="422100"/>
                          <w:sz w:val="52"/>
                          <w:szCs w:val="52"/>
                          <w:lang w:val="en-US" w:eastAsia="zh-CN"/>
                        </w:rPr>
                        <w:t xml:space="preserve"> 沪金短线小幅反弹</w:t>
                      </w:r>
                    </w:p>
                    <w:p>
                      <w:pPr>
                        <w:jc w:val="center"/>
                        <w:rPr>
                          <w:b/>
                          <w:sz w:val="28"/>
                          <w:szCs w:val="28"/>
                        </w:rPr>
                      </w:pPr>
                    </w:p>
                    <w:p>
                      <w:pPr>
                        <w:pStyle w:val="4"/>
                        <w:shd w:val="clear" w:color="auto" w:fill="FFFFFF"/>
                        <w:spacing w:line="524" w:lineRule="atLeast"/>
                        <w:jc w:val="center"/>
                        <w:textAlignment w:val="baseline"/>
                        <w:rPr>
                          <w:rFonts w:hint="eastAsia" w:ascii="黑体" w:hAnsi="微软雅黑" w:eastAsia="黑体"/>
                          <w:b/>
                          <w:color w:val="422100"/>
                          <w:sz w:val="52"/>
                          <w:szCs w:val="52"/>
                        </w:rPr>
                      </w:pPr>
                    </w:p>
                  </w:txbxContent>
                </v:textbox>
              </v:shape>
            </w:pict>
          </mc:Fallback>
        </mc:AlternateContent>
      </w: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微软雅黑" w:hAnsi="微软雅黑" w:eastAsia="微软雅黑"/>
          <w:color w:val="FFFFFF"/>
          <w:kern w:val="2"/>
          <w:sz w:val="36"/>
          <w:szCs w:val="36"/>
        </w:rPr>
      </w:pPr>
      <w:r>
        <w:rPr>
          <w:rFonts w:hint="eastAsia" w:ascii="新宋体" w:hAnsi="新宋体" w:eastAsia="新宋体"/>
          <w:color w:val="FFFFFF"/>
          <w:kern w:val="2"/>
          <w:sz w:val="36"/>
          <w:szCs w:val="36"/>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297180</wp:posOffset>
                </wp:positionV>
                <wp:extent cx="3086100" cy="891540"/>
                <wp:effectExtent l="0" t="0" r="0" b="0"/>
                <wp:wrapNone/>
                <wp:docPr id="13" name="文本框 5"/>
                <wp:cNvGraphicFramePr/>
                <a:graphic xmlns:a="http://schemas.openxmlformats.org/drawingml/2006/main">
                  <a:graphicData uri="http://schemas.microsoft.com/office/word/2010/wordprocessingShape">
                    <wps:wsp>
                      <wps:cNvSpPr txBox="1"/>
                      <wps:spPr>
                        <a:xfrm>
                          <a:off x="0" y="0"/>
                          <a:ext cx="3086100" cy="891540"/>
                        </a:xfrm>
                        <a:prstGeom prst="rect">
                          <a:avLst/>
                        </a:prstGeom>
                        <a:noFill/>
                        <a:ln w="9525">
                          <a:noFill/>
                        </a:ln>
                      </wps:spPr>
                      <wps:txbx>
                        <w:txbxContent>
                          <w:p>
                            <w:pPr>
                              <w:jc w:val="center"/>
                              <w:rPr>
                                <w:rFonts w:hint="eastAsia" w:ascii="黑体" w:hAnsi="微软雅黑" w:eastAsia="黑体"/>
                                <w:color w:val="422100"/>
                                <w:sz w:val="24"/>
                                <w:szCs w:val="24"/>
                              </w:rPr>
                            </w:pPr>
                            <w:r>
                              <w:rPr>
                                <w:rFonts w:hint="eastAsia" w:ascii="黑体" w:hAnsi="微软雅黑" w:eastAsia="黑体"/>
                                <w:color w:val="422100"/>
                                <w:sz w:val="24"/>
                                <w:szCs w:val="24"/>
                              </w:rPr>
                              <w:t>广州期货 薛丽冰</w:t>
                            </w:r>
                          </w:p>
                          <w:p>
                            <w:pPr>
                              <w:jc w:val="center"/>
                              <w:rPr>
                                <w:rFonts w:hint="eastAsia" w:ascii="黑体" w:hAnsi="微软雅黑" w:eastAsia="黑体"/>
                                <w:color w:val="422100"/>
                                <w:sz w:val="24"/>
                                <w:szCs w:val="24"/>
                              </w:rPr>
                            </w:pPr>
                          </w:p>
                          <w:p>
                            <w:pPr>
                              <w:jc w:val="center"/>
                              <w:rPr>
                                <w:rFonts w:hint="eastAsia" w:ascii="黑体" w:hAnsi="微软雅黑" w:eastAsia="黑体"/>
                                <w:color w:val="422100"/>
                                <w:sz w:val="24"/>
                                <w:szCs w:val="24"/>
                              </w:rPr>
                            </w:pPr>
                            <w:r>
                              <w:rPr>
                                <w:rFonts w:hint="eastAsia" w:ascii="黑体" w:hAnsi="微软雅黑" w:eastAsia="黑体"/>
                                <w:color w:val="422100"/>
                                <w:sz w:val="24"/>
                                <w:szCs w:val="24"/>
                              </w:rPr>
                              <w:t>2017年</w:t>
                            </w:r>
                            <w:r>
                              <w:rPr>
                                <w:rFonts w:hint="eastAsia" w:ascii="黑体" w:hAnsi="微软雅黑" w:eastAsia="黑体"/>
                                <w:color w:val="422100"/>
                                <w:sz w:val="24"/>
                                <w:szCs w:val="24"/>
                                <w:lang w:val="en-US" w:eastAsia="zh-CN"/>
                              </w:rPr>
                              <w:t>8</w:t>
                            </w:r>
                            <w:r>
                              <w:rPr>
                                <w:rFonts w:hint="eastAsia" w:ascii="黑体" w:hAnsi="微软雅黑" w:eastAsia="黑体"/>
                                <w:color w:val="422100"/>
                                <w:sz w:val="24"/>
                                <w:szCs w:val="24"/>
                              </w:rPr>
                              <w:t>月</w:t>
                            </w:r>
                            <w:r>
                              <w:rPr>
                                <w:rFonts w:hint="eastAsia" w:ascii="黑体" w:hAnsi="微软雅黑" w:eastAsia="黑体"/>
                                <w:color w:val="422100"/>
                                <w:sz w:val="24"/>
                                <w:szCs w:val="24"/>
                                <w:lang w:val="en-US" w:eastAsia="zh-CN"/>
                              </w:rPr>
                              <w:t>17</w:t>
                            </w:r>
                            <w:r>
                              <w:rPr>
                                <w:rFonts w:hint="eastAsia" w:ascii="黑体" w:hAnsi="微软雅黑" w:eastAsia="黑体"/>
                                <w:color w:val="422100"/>
                                <w:sz w:val="24"/>
                                <w:szCs w:val="24"/>
                              </w:rPr>
                              <w:t>日</w:t>
                            </w:r>
                          </w:p>
                        </w:txbxContent>
                      </wps:txbx>
                      <wps:bodyPr upright="1"/>
                    </wps:wsp>
                  </a:graphicData>
                </a:graphic>
              </wp:anchor>
            </w:drawing>
          </mc:Choice>
          <mc:Fallback>
            <w:pict>
              <v:shape id="文本框 5" o:spid="_x0000_s1026" o:spt="202" type="#_x0000_t202" style="position:absolute;left:0pt;margin-left:90pt;margin-top:23.4pt;height:70.2pt;width:243pt;z-index:251660288;mso-width-relative:page;mso-height-relative:page;" filled="f" stroked="f" coordsize="21600,21600" o:gfxdata="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&#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KkPwLnVAAAACgEAAA8AAAAAAAAAAQAgAAAAIgAAAGRy&#10;cy9kb3ducmV2LnhtbFBLAQIUABQAAAAIAIdO4kChLypAlgEAAAoDAAAOAAAAAAAAAAEAIAAAACQB&#10;AABkcnMvZTJvRG9jLnhtbFBLBQYAAAAABgAGAFkBAAAsBQAAAAA=&#10;">
                <v:fill on="f" focussize="0,0"/>
                <v:stroke on="f"/>
                <v:imagedata o:title=""/>
                <o:lock v:ext="edit" aspectratio="f"/>
                <v:textbox>
                  <w:txbxContent>
                    <w:p>
                      <w:pPr>
                        <w:jc w:val="center"/>
                        <w:rPr>
                          <w:rFonts w:hint="eastAsia" w:ascii="黑体" w:hAnsi="微软雅黑" w:eastAsia="黑体"/>
                          <w:color w:val="422100"/>
                          <w:sz w:val="24"/>
                          <w:szCs w:val="24"/>
                        </w:rPr>
                      </w:pPr>
                      <w:r>
                        <w:rPr>
                          <w:rFonts w:hint="eastAsia" w:ascii="黑体" w:hAnsi="微软雅黑" w:eastAsia="黑体"/>
                          <w:color w:val="422100"/>
                          <w:sz w:val="24"/>
                          <w:szCs w:val="24"/>
                        </w:rPr>
                        <w:t>广州期货 薛丽冰</w:t>
                      </w:r>
                    </w:p>
                    <w:p>
                      <w:pPr>
                        <w:jc w:val="center"/>
                        <w:rPr>
                          <w:rFonts w:hint="eastAsia" w:ascii="黑体" w:hAnsi="微软雅黑" w:eastAsia="黑体"/>
                          <w:color w:val="422100"/>
                          <w:sz w:val="24"/>
                          <w:szCs w:val="24"/>
                        </w:rPr>
                      </w:pPr>
                    </w:p>
                    <w:p>
                      <w:pPr>
                        <w:jc w:val="center"/>
                        <w:rPr>
                          <w:rFonts w:hint="eastAsia" w:ascii="黑体" w:hAnsi="微软雅黑" w:eastAsia="黑体"/>
                          <w:color w:val="422100"/>
                          <w:sz w:val="24"/>
                          <w:szCs w:val="24"/>
                        </w:rPr>
                      </w:pPr>
                      <w:r>
                        <w:rPr>
                          <w:rFonts w:hint="eastAsia" w:ascii="黑体" w:hAnsi="微软雅黑" w:eastAsia="黑体"/>
                          <w:color w:val="422100"/>
                          <w:sz w:val="24"/>
                          <w:szCs w:val="24"/>
                        </w:rPr>
                        <w:t>2017年</w:t>
                      </w:r>
                      <w:r>
                        <w:rPr>
                          <w:rFonts w:hint="eastAsia" w:ascii="黑体" w:hAnsi="微软雅黑" w:eastAsia="黑体"/>
                          <w:color w:val="422100"/>
                          <w:sz w:val="24"/>
                          <w:szCs w:val="24"/>
                          <w:lang w:val="en-US" w:eastAsia="zh-CN"/>
                        </w:rPr>
                        <w:t>8</w:t>
                      </w:r>
                      <w:r>
                        <w:rPr>
                          <w:rFonts w:hint="eastAsia" w:ascii="黑体" w:hAnsi="微软雅黑" w:eastAsia="黑体"/>
                          <w:color w:val="422100"/>
                          <w:sz w:val="24"/>
                          <w:szCs w:val="24"/>
                        </w:rPr>
                        <w:t>月</w:t>
                      </w:r>
                      <w:r>
                        <w:rPr>
                          <w:rFonts w:hint="eastAsia" w:ascii="黑体" w:hAnsi="微软雅黑" w:eastAsia="黑体"/>
                          <w:color w:val="422100"/>
                          <w:sz w:val="24"/>
                          <w:szCs w:val="24"/>
                          <w:lang w:val="en-US" w:eastAsia="zh-CN"/>
                        </w:rPr>
                        <w:t>17</w:t>
                      </w:r>
                      <w:r>
                        <w:rPr>
                          <w:rFonts w:hint="eastAsia" w:ascii="黑体" w:hAnsi="微软雅黑" w:eastAsia="黑体"/>
                          <w:color w:val="422100"/>
                          <w:sz w:val="24"/>
                          <w:szCs w:val="24"/>
                        </w:rPr>
                        <w:t>日</w:t>
                      </w:r>
                    </w:p>
                  </w:txbxContent>
                </v:textbox>
              </v:shape>
            </w:pict>
          </mc:Fallback>
        </mc:AlternateContent>
      </w: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p>
    <w:p>
      <w:pPr>
        <w:pStyle w:val="8"/>
        <w:spacing w:line="360" w:lineRule="auto"/>
        <w:jc w:val="center"/>
        <w:rPr>
          <w:rFonts w:hint="eastAsia" w:ascii="新宋体" w:hAnsi="新宋体" w:eastAsia="新宋体"/>
          <w:color w:val="FFFFFF"/>
          <w:kern w:val="2"/>
          <w:sz w:val="36"/>
          <w:szCs w:val="36"/>
        </w:rPr>
      </w:pPr>
      <w:r>
        <w:rPr>
          <w:rFonts w:hint="eastAsia" w:ascii="新宋体" w:hAnsi="新宋体" w:eastAsia="新宋体"/>
          <w:color w:val="FFFFFF"/>
          <w:kern w:val="2"/>
          <w:sz w:val="36"/>
          <w:szCs w:val="36"/>
        </w:rPr>
        <mc:AlternateContent>
          <mc:Choice Requires="wps">
            <w:drawing>
              <wp:anchor distT="0" distB="0" distL="114300" distR="114300" simplePos="0" relativeHeight="251662336" behindDoc="0" locked="0" layoutInCell="1" allowOverlap="1">
                <wp:simplePos x="0" y="0"/>
                <wp:positionH relativeFrom="column">
                  <wp:posOffset>2038350</wp:posOffset>
                </wp:positionH>
                <wp:positionV relativeFrom="paragraph">
                  <wp:posOffset>57150</wp:posOffset>
                </wp:positionV>
                <wp:extent cx="2857500" cy="495300"/>
                <wp:effectExtent l="0" t="0" r="0" b="0"/>
                <wp:wrapNone/>
                <wp:docPr id="11" name="文本框 6"/>
                <wp:cNvGraphicFramePr/>
                <a:graphic xmlns:a="http://schemas.openxmlformats.org/drawingml/2006/main">
                  <a:graphicData uri="http://schemas.microsoft.com/office/word/2010/wordprocessingShape">
                    <wps:wsp>
                      <wps:cNvSpPr txBox="1"/>
                      <wps:spPr>
                        <a:xfrm>
                          <a:off x="0" y="0"/>
                          <a:ext cx="2857500" cy="495300"/>
                        </a:xfrm>
                        <a:prstGeom prst="rect">
                          <a:avLst/>
                        </a:prstGeom>
                        <a:noFill/>
                        <a:ln w="9525">
                          <a:noFill/>
                        </a:ln>
                      </wps:spPr>
                      <wps:txbx>
                        <w:txbxContent>
                          <w:p>
                            <w:pPr>
                              <w:ind w:firstLine="100" w:firstLineChars="50"/>
                              <w:rPr>
                                <w:rFonts w:ascii="Arial" w:hAnsi="Arial" w:cs="Arial"/>
                                <w:color w:val="FFFFFF"/>
                                <w:sz w:val="20"/>
                                <w:lang w:val="de-DE"/>
                              </w:rPr>
                            </w:pPr>
                            <w:r>
                              <w:rPr>
                                <w:rFonts w:hint="eastAsia" w:ascii="Arial" w:hAnsi="Arial" w:cs="Arial"/>
                                <w:color w:val="FFFFFF"/>
                                <w:sz w:val="20"/>
                                <w:lang w:val="de-DE"/>
                              </w:rPr>
                              <w:t>400-020-6388</w:t>
                            </w:r>
                            <w:r>
                              <w:rPr>
                                <w:rFonts w:ascii="Arial" w:hAnsi="Arial" w:cs="Arial"/>
                                <w:color w:val="FFFFFF"/>
                                <w:sz w:val="20"/>
                                <w:lang w:val="de-DE"/>
                              </w:rPr>
                              <w:t xml:space="preserve"> │ </w:t>
                            </w:r>
                            <w:r>
                              <w:rPr>
                                <w:rFonts w:hint="eastAsia" w:ascii="Arial" w:hAnsi="Arial" w:cs="Arial"/>
                                <w:color w:val="FFFFFF"/>
                                <w:sz w:val="20"/>
                                <w:lang w:val="de-DE"/>
                              </w:rPr>
                              <w:t xml:space="preserve"> </w:t>
                            </w:r>
                            <w:r>
                              <w:rPr>
                                <w:rFonts w:ascii="Arial" w:hAnsi="Arial" w:cs="Arial"/>
                                <w:color w:val="FFFFFF"/>
                                <w:sz w:val="20"/>
                                <w:lang w:val="de-DE"/>
                              </w:rPr>
                              <w:t>www.gzf2010.com.cn</w:t>
                            </w:r>
                          </w:p>
                        </w:txbxContent>
                      </wps:txbx>
                      <wps:bodyPr upright="1"/>
                    </wps:wsp>
                  </a:graphicData>
                </a:graphic>
              </wp:anchor>
            </w:drawing>
          </mc:Choice>
          <mc:Fallback>
            <w:pict>
              <v:shape id="文本框 6" o:spid="_x0000_s1026" o:spt="202" type="#_x0000_t202" style="position:absolute;left:0pt;margin-left:160.5pt;margin-top:4.5pt;height:39pt;width:225pt;z-index:251662336;mso-width-relative:page;mso-height-relative:page;" filled="f" stroked="f" coordsize="21600,21600" o:gfxdata="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gaP03dUAAAAIAQAADwAAAAAAAAABACAAAAAiAAAA&#10;ZHJzL2Rvd25yZXYueG1sUEsBAhQAFAAAAAgAh07iQC6sAVuYAQAACgMAAA4AAAAAAAAAAQAgAAAA&#10;JAEAAGRycy9lMm9Eb2MueG1sUEsFBgAAAAAGAAYAWQEAAC4FAAAAAA==&#10;">
                <v:fill on="f" focussize="0,0"/>
                <v:stroke on="f"/>
                <v:imagedata o:title=""/>
                <o:lock v:ext="edit" aspectratio="f"/>
                <v:textbox>
                  <w:txbxContent>
                    <w:p>
                      <w:pPr>
                        <w:ind w:firstLine="100" w:firstLineChars="50"/>
                        <w:rPr>
                          <w:rFonts w:ascii="Arial" w:hAnsi="Arial" w:cs="Arial"/>
                          <w:color w:val="FFFFFF"/>
                          <w:sz w:val="20"/>
                          <w:lang w:val="de-DE"/>
                        </w:rPr>
                      </w:pPr>
                      <w:r>
                        <w:rPr>
                          <w:rFonts w:hint="eastAsia" w:ascii="Arial" w:hAnsi="Arial" w:cs="Arial"/>
                          <w:color w:val="FFFFFF"/>
                          <w:sz w:val="20"/>
                          <w:lang w:val="de-DE"/>
                        </w:rPr>
                        <w:t>400-020-6388</w:t>
                      </w:r>
                      <w:r>
                        <w:rPr>
                          <w:rFonts w:ascii="Arial" w:hAnsi="Arial" w:cs="Arial"/>
                          <w:color w:val="FFFFFF"/>
                          <w:sz w:val="20"/>
                          <w:lang w:val="de-DE"/>
                        </w:rPr>
                        <w:t xml:space="preserve"> │ </w:t>
                      </w:r>
                      <w:r>
                        <w:rPr>
                          <w:rFonts w:hint="eastAsia" w:ascii="Arial" w:hAnsi="Arial" w:cs="Arial"/>
                          <w:color w:val="FFFFFF"/>
                          <w:sz w:val="20"/>
                          <w:lang w:val="de-DE"/>
                        </w:rPr>
                        <w:t xml:space="preserve"> </w:t>
                      </w:r>
                      <w:r>
                        <w:rPr>
                          <w:rFonts w:ascii="Arial" w:hAnsi="Arial" w:cs="Arial"/>
                          <w:color w:val="FFFFFF"/>
                          <w:sz w:val="20"/>
                          <w:lang w:val="de-DE"/>
                        </w:rPr>
                        <w:t>www.gzf2010.com.cn</w:t>
                      </w:r>
                    </w:p>
                  </w:txbxContent>
                </v:textbox>
              </v:shape>
            </w:pict>
          </mc:Fallback>
        </mc:AlternateContent>
      </w:r>
      <w:r>
        <w:drawing>
          <wp:anchor distT="0" distB="0" distL="114300" distR="114300" simplePos="0" relativeHeight="251663360" behindDoc="0" locked="0" layoutInCell="1" allowOverlap="1">
            <wp:simplePos x="0" y="0"/>
            <wp:positionH relativeFrom="column">
              <wp:posOffset>1771650</wp:posOffset>
            </wp:positionH>
            <wp:positionV relativeFrom="paragraph">
              <wp:posOffset>158115</wp:posOffset>
            </wp:positionV>
            <wp:extent cx="323850" cy="129540"/>
            <wp:effectExtent l="0" t="0" r="0" b="3810"/>
            <wp:wrapNone/>
            <wp:docPr id="17" name="图片 7" descr="dian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dianhua"/>
                    <pic:cNvPicPr>
                      <a:picLocks noChangeAspect="1"/>
                    </pic:cNvPicPr>
                  </pic:nvPicPr>
                  <pic:blipFill>
                    <a:blip r:embed="rId9"/>
                    <a:stretch>
                      <a:fillRect/>
                    </a:stretch>
                  </pic:blipFill>
                  <pic:spPr>
                    <a:xfrm>
                      <a:off x="0" y="0"/>
                      <a:ext cx="323850" cy="129540"/>
                    </a:xfrm>
                    <a:prstGeom prst="rect">
                      <a:avLst/>
                    </a:prstGeom>
                    <a:noFill/>
                    <a:ln w="9525">
                      <a:noFill/>
                    </a:ln>
                  </pic:spPr>
                </pic:pic>
              </a:graphicData>
            </a:graphic>
          </wp:anchor>
        </w:drawing>
      </w:r>
    </w:p>
    <w:p>
      <w:pPr>
        <w:pStyle w:val="8"/>
        <w:spacing w:line="360" w:lineRule="auto"/>
        <w:rPr>
          <w:rFonts w:hint="eastAsia" w:ascii="微软雅黑" w:hAnsi="微软雅黑" w:eastAsia="微软雅黑"/>
          <w:color w:val="FFFFFF"/>
          <w:kern w:val="2"/>
          <w:sz w:val="28"/>
          <w:szCs w:val="28"/>
        </w:rPr>
      </w:pPr>
      <w:r>
        <w:rPr>
          <w:rFonts w:hint="eastAsia" w:ascii="新宋体" w:hAnsi="新宋体" w:eastAsia="新宋体"/>
          <w:color w:val="FFFFFF"/>
          <w:kern w:val="2"/>
          <w:sz w:val="36"/>
          <w:szCs w:val="36"/>
        </w:rPr>
        <w:t xml:space="preserve">            </w:t>
      </w:r>
      <w:r>
        <w:rPr>
          <w:rFonts w:hint="eastAsia" w:ascii="微软雅黑" w:hAnsi="微软雅黑" w:eastAsia="微软雅黑"/>
          <w:color w:val="FFFFFF"/>
          <w:kern w:val="2"/>
          <w:sz w:val="36"/>
          <w:szCs w:val="36"/>
        </w:rPr>
        <w:t xml:space="preserve">                      </w:t>
      </w:r>
    </w:p>
    <w:p>
      <w:pPr>
        <w:rPr>
          <w:rFonts w:hint="eastAsia" w:ascii="新宋体" w:hAnsi="新宋体" w:eastAsia="新宋体"/>
          <w:color w:val="FFFFFF"/>
          <w:sz w:val="36"/>
          <w:szCs w:val="36"/>
        </w:rPr>
      </w:pPr>
    </w:p>
    <w:p>
      <w:pPr>
        <w:spacing w:line="360" w:lineRule="auto"/>
        <w:jc w:val="center"/>
        <w:rPr>
          <w:rFonts w:hint="eastAsia"/>
          <w:b/>
          <w:sz w:val="28"/>
          <w:szCs w:val="28"/>
          <w:lang w:eastAsia="zh-CN"/>
        </w:rPr>
      </w:pPr>
      <w:r>
        <w:rPr>
          <w:rFonts w:hint="eastAsia"/>
          <w:b/>
          <w:sz w:val="28"/>
          <w:szCs w:val="28"/>
          <w:lang w:eastAsia="zh-CN"/>
        </w:rPr>
        <w:t>美联储紧缩步伐放缓</w:t>
      </w:r>
      <w:r>
        <w:rPr>
          <w:rFonts w:hint="eastAsia"/>
          <w:b/>
          <w:sz w:val="28"/>
          <w:szCs w:val="28"/>
          <w:lang w:val="en-US" w:eastAsia="zh-CN"/>
        </w:rPr>
        <w:t xml:space="preserve"> 沪金短线小幅反弹</w:t>
      </w:r>
    </w:p>
    <w:p>
      <w:pPr>
        <w:spacing w:line="360" w:lineRule="auto"/>
        <w:jc w:val="center"/>
        <w:rPr>
          <w:rFonts w:ascii="宋体" w:hAnsi="宋体"/>
          <w:szCs w:val="21"/>
        </w:rPr>
      </w:pPr>
      <w:r>
        <w:rPr>
          <w:rFonts w:hint="eastAsia" w:ascii="宋体" w:hAnsi="宋体"/>
          <w:szCs w:val="21"/>
        </w:rPr>
        <w:t>广州期货薛丽冰（从业资格号：</w:t>
      </w:r>
      <w:r>
        <w:rPr>
          <w:rFonts w:ascii="宋体" w:hAnsi="宋体"/>
          <w:szCs w:val="21"/>
        </w:rPr>
        <w:t>F</w:t>
      </w:r>
      <w:r>
        <w:rPr>
          <w:rFonts w:hint="eastAsia" w:ascii="宋体" w:hAnsi="宋体"/>
          <w:szCs w:val="21"/>
        </w:rPr>
        <w:t>0279850）</w:t>
      </w:r>
    </w:p>
    <w:p>
      <w:pPr>
        <w:spacing w:line="360" w:lineRule="auto"/>
        <w:ind w:firstLine="420" w:firstLineChars="200"/>
        <w:jc w:val="left"/>
        <w:rPr>
          <w:rFonts w:hint="eastAsia" w:ascii="宋体" w:hAnsi="宋体"/>
          <w:szCs w:val="21"/>
          <w:lang w:eastAsia="zh-CN"/>
        </w:rPr>
      </w:pPr>
      <w:r>
        <w:rPr>
          <w:rFonts w:hint="eastAsia" w:ascii="宋体" w:hAnsi="宋体"/>
          <w:szCs w:val="21"/>
          <w:lang w:eastAsia="zh-CN"/>
        </w:rPr>
        <w:t>自201</w:t>
      </w:r>
      <w:r>
        <w:rPr>
          <w:rFonts w:hint="eastAsia" w:ascii="宋体" w:hAnsi="宋体"/>
          <w:szCs w:val="21"/>
          <w:lang w:val="en-US" w:eastAsia="zh-CN"/>
        </w:rPr>
        <w:t>6</w:t>
      </w:r>
      <w:r>
        <w:rPr>
          <w:rFonts w:hint="eastAsia" w:ascii="宋体" w:hAnsi="宋体"/>
          <w:szCs w:val="21"/>
          <w:lang w:eastAsia="zh-CN"/>
        </w:rPr>
        <w:t>年</w:t>
      </w:r>
      <w:r>
        <w:rPr>
          <w:rFonts w:hint="eastAsia" w:ascii="宋体" w:hAnsi="宋体"/>
          <w:szCs w:val="21"/>
          <w:lang w:val="en-US" w:eastAsia="zh-CN"/>
        </w:rPr>
        <w:t>12</w:t>
      </w:r>
      <w:r>
        <w:rPr>
          <w:rFonts w:hint="eastAsia" w:ascii="宋体" w:hAnsi="宋体"/>
          <w:szCs w:val="21"/>
          <w:lang w:eastAsia="zh-CN"/>
        </w:rPr>
        <w:t>月15日美联储宣布上调联邦基金利率目标上限25个基点后，沪金主力合约一度跌至低位，随后金价展开反弹。</w:t>
      </w:r>
      <w:r>
        <w:rPr>
          <w:rFonts w:hint="eastAsia" w:ascii="宋体" w:hAnsi="宋体"/>
          <w:szCs w:val="21"/>
          <w:lang w:val="en-US" w:eastAsia="zh-CN"/>
        </w:rPr>
        <w:t>2017年</w:t>
      </w:r>
      <w:r>
        <w:rPr>
          <w:rFonts w:hint="eastAsia" w:ascii="宋体" w:hAnsi="宋体"/>
          <w:szCs w:val="21"/>
          <w:lang w:eastAsia="zh-CN"/>
        </w:rPr>
        <w:t>上半年沪金主力合约一度升至年内高点</w:t>
      </w:r>
      <w:r>
        <w:rPr>
          <w:rFonts w:hint="eastAsia" w:ascii="宋体" w:hAnsi="宋体"/>
          <w:szCs w:val="21"/>
          <w:lang w:val="en-US" w:eastAsia="zh-CN"/>
        </w:rPr>
        <w:t>289.45元/克后</w:t>
      </w:r>
      <w:r>
        <w:rPr>
          <w:rFonts w:hint="eastAsia" w:ascii="宋体" w:hAnsi="宋体"/>
          <w:szCs w:val="21"/>
          <w:lang w:eastAsia="zh-CN"/>
        </w:rPr>
        <w:t>重新下跌。</w:t>
      </w:r>
      <w:r>
        <w:rPr>
          <w:rFonts w:hint="eastAsia" w:ascii="宋体" w:hAnsi="宋体"/>
          <w:szCs w:val="21"/>
          <w:lang w:val="en-US" w:eastAsia="zh-CN"/>
        </w:rPr>
        <w:t>就在市场预期金价将持续承压走弱之际</w:t>
      </w:r>
      <w:r>
        <w:rPr>
          <w:rFonts w:hint="eastAsia" w:ascii="宋体" w:hAnsi="宋体"/>
          <w:szCs w:val="21"/>
          <w:lang w:eastAsia="zh-CN"/>
        </w:rPr>
        <w:t>，由于美国经济数据弱于预期，美联储年内第三次加息概率降至</w:t>
      </w:r>
      <w:r>
        <w:rPr>
          <w:rFonts w:hint="eastAsia" w:ascii="宋体" w:hAnsi="宋体"/>
          <w:szCs w:val="21"/>
          <w:lang w:val="en-US" w:eastAsia="zh-CN"/>
        </w:rPr>
        <w:t>50%以下</w:t>
      </w:r>
      <w:r>
        <w:rPr>
          <w:rFonts w:hint="eastAsia" w:ascii="宋体" w:hAnsi="宋体"/>
          <w:szCs w:val="21"/>
          <w:lang w:eastAsia="zh-CN"/>
        </w:rPr>
        <w:t>，沪金重新反弹。进入</w:t>
      </w:r>
      <w:r>
        <w:rPr>
          <w:rFonts w:hint="eastAsia" w:ascii="宋体" w:hAnsi="宋体"/>
          <w:szCs w:val="21"/>
          <w:lang w:val="en-US" w:eastAsia="zh-CN"/>
        </w:rPr>
        <w:t>8月，因美朝局势紧张，沪金主力合约快速飙升至280元/克。我们认为3季度，沪金小幅反弹，理由如下：</w:t>
      </w:r>
    </w:p>
    <w:p>
      <w:pPr>
        <w:numPr>
          <w:ilvl w:val="0"/>
          <w:numId w:val="1"/>
        </w:numPr>
        <w:spacing w:line="360" w:lineRule="auto"/>
        <w:ind w:firstLine="422" w:firstLineChars="200"/>
        <w:jc w:val="left"/>
        <w:rPr>
          <w:rFonts w:hint="eastAsia" w:ascii="宋体" w:hAnsi="宋体"/>
          <w:b/>
          <w:bCs w:val="0"/>
          <w:color w:val="000000"/>
          <w:szCs w:val="21"/>
          <w:lang w:eastAsia="zh-CN"/>
        </w:rPr>
      </w:pPr>
      <w:r>
        <w:rPr>
          <w:rFonts w:hint="eastAsia" w:ascii="宋体" w:hAnsi="宋体"/>
          <w:b/>
          <w:bCs w:val="0"/>
          <w:color w:val="000000"/>
          <w:szCs w:val="21"/>
        </w:rPr>
        <w:t>美联储</w:t>
      </w:r>
      <w:r>
        <w:rPr>
          <w:rFonts w:hint="eastAsia" w:ascii="宋体" w:hAnsi="宋体"/>
          <w:b/>
          <w:bCs w:val="0"/>
          <w:color w:val="000000"/>
          <w:szCs w:val="21"/>
          <w:lang w:eastAsia="zh-CN"/>
        </w:rPr>
        <w:t>货币政策紧缩步伐放缓</w:t>
      </w:r>
    </w:p>
    <w:p>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8月16日凌晨，美联储发布7月货币政策会议纪要。纪要显示，</w:t>
      </w:r>
      <w:r>
        <w:rPr>
          <w:rFonts w:hint="eastAsia" w:ascii="宋体" w:hAnsi="宋体"/>
          <w:szCs w:val="21"/>
          <w:lang w:eastAsia="zh-CN"/>
        </w:rPr>
        <w:t>目前美国市场就业增长稳定，核心通胀降至2%之下。委员会预期随着货币政策立场的逐步调整，经济活动将以温和的速度增长，劳动力市场状况将进一步改善，并且通胀短期内仍将略低于2%，但中期将稳定于美联储2%的目标。结合目前的劳动力市场状况及通胀数据，美联储决定将联邦基金利率维持在1-1.25%。预计经济状况将以一种将使联邦基金利率逐步提高的方式演变，联邦基金利率可能将在相当一段时间内维持在低于预期的水平。市场预期美联储将于</w:t>
      </w:r>
      <w:r>
        <w:rPr>
          <w:rFonts w:hint="eastAsia" w:ascii="宋体" w:hAnsi="宋体"/>
          <w:szCs w:val="21"/>
          <w:lang w:val="en-US" w:eastAsia="zh-CN"/>
        </w:rPr>
        <w:t>9月缩表，年内加息的概率在50%以下。</w:t>
      </w:r>
    </w:p>
    <w:p>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美国7月新屋开工年化115.5万户，低于前值121.3万户和预期122万户。美国7月营建许可122.3万户，低于前值127.5万户和预期的125万户。美国7月未季调CPI同比+1.7%，低于预期+1.8%，略高于前值+1.6%。美国7月未季调核心CPI同比+1.7%，与前值持平，符合预期。</w:t>
      </w:r>
    </w:p>
    <w:p>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美国经济运行稳健，通胀水平仍维持在2%之下，因此美联储的加息步伐放缓。但近段时间受到中国供给侧改革的影响，有色金属大幅上涨，伦铝月涨幅超过9%，伦锌月涨幅超过11%，且结合美国经济自身也朝着通胀上行的方向运行，料后期通胀升温。</w:t>
      </w:r>
    </w:p>
    <w:p>
      <w:pPr>
        <w:spacing w:line="360" w:lineRule="auto"/>
        <w:ind w:firstLine="422" w:firstLineChars="200"/>
        <w:jc w:val="left"/>
        <w:rPr>
          <w:rFonts w:ascii="宋体" w:hAnsi="宋体"/>
          <w:b/>
          <w:bCs w:val="0"/>
          <w:color w:val="auto"/>
          <w:szCs w:val="21"/>
        </w:rPr>
      </w:pPr>
      <w:r>
        <w:rPr>
          <w:rFonts w:hint="eastAsia" w:ascii="宋体" w:hAnsi="宋体"/>
          <w:b/>
          <w:bCs w:val="0"/>
          <w:color w:val="auto"/>
          <w:szCs w:val="21"/>
        </w:rPr>
        <w:t>二、欧洲多国货币政策紧缩</w:t>
      </w:r>
      <w:r>
        <w:rPr>
          <w:rFonts w:hint="eastAsia" w:ascii="宋体" w:hAnsi="宋体"/>
          <w:b/>
          <w:bCs w:val="0"/>
          <w:color w:val="auto"/>
          <w:szCs w:val="21"/>
          <w:lang w:eastAsia="zh-CN"/>
        </w:rPr>
        <w:t>暂缓</w:t>
      </w:r>
    </w:p>
    <w:p>
      <w:pPr>
        <w:spacing w:line="360" w:lineRule="auto"/>
        <w:ind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欧央行将在9月7日召开议息会议，</w:t>
      </w:r>
      <w:r>
        <w:rPr>
          <w:rFonts w:hint="eastAsia" w:ascii="宋体" w:hAnsi="宋体"/>
          <w:strike w:val="0"/>
          <w:dstrike w:val="0"/>
          <w:color w:val="auto"/>
          <w:szCs w:val="21"/>
          <w:lang w:val="en-US" w:eastAsia="zh-CN"/>
        </w:rPr>
        <w:t>料</w:t>
      </w:r>
      <w:r>
        <w:rPr>
          <w:rFonts w:hint="eastAsia" w:ascii="宋体" w:hAnsi="宋体"/>
          <w:color w:val="auto"/>
          <w:szCs w:val="21"/>
          <w:lang w:val="en-US" w:eastAsia="zh-CN"/>
        </w:rPr>
        <w:t>其将从明年1月份开始为期9个月的资产购买缩减计划，到2018年底欧洲央行将进行首次加息。</w:t>
      </w:r>
    </w:p>
    <w:p>
      <w:pPr>
        <w:spacing w:line="360" w:lineRule="auto"/>
        <w:ind w:firstLine="420" w:firstLineChars="200"/>
        <w:jc w:val="left"/>
        <w:rPr>
          <w:rFonts w:hint="eastAsia" w:ascii="宋体" w:hAnsi="宋体"/>
          <w:color w:val="auto"/>
          <w:szCs w:val="21"/>
          <w:lang w:val="en-US" w:eastAsia="zh-CN"/>
        </w:rPr>
      </w:pPr>
      <w:r>
        <w:rPr>
          <w:rFonts w:hint="eastAsia" w:ascii="宋体" w:hAnsi="宋体"/>
          <w:color w:val="auto"/>
          <w:szCs w:val="21"/>
          <w:lang w:eastAsia="zh-CN"/>
        </w:rPr>
        <w:t>英国央行行长卡尼近日表示脱欧将拖累英国经济增速。此前</w:t>
      </w:r>
      <w:r>
        <w:rPr>
          <w:rFonts w:hint="eastAsia" w:ascii="宋体" w:hAnsi="宋体"/>
          <w:color w:val="auto"/>
          <w:szCs w:val="21"/>
          <w:lang w:val="en-US" w:eastAsia="zh-CN"/>
        </w:rPr>
        <w:t>英国通胀走高是因为英镑贬值导致输入型通胀所致，随着7月通胀数据重新回稳，年内央行加息概率较低。</w:t>
      </w:r>
    </w:p>
    <w:p>
      <w:pPr>
        <w:spacing w:line="360" w:lineRule="auto"/>
        <w:ind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加拿大央行将在9月6日召开议息会议，料加维持利率不变。市场预料加拿大央行在2018年第2季升息25个基点，第4季也会升息25基点，利率在明年底将会升至1.50%。</w:t>
      </w:r>
    </w:p>
    <w:p>
      <w:pPr>
        <w:spacing w:line="360" w:lineRule="auto"/>
        <w:ind w:firstLine="422" w:firstLineChars="200"/>
        <w:jc w:val="left"/>
        <w:rPr>
          <w:rFonts w:ascii="宋体" w:hAnsi="宋体"/>
          <w:b/>
          <w:color w:val="000000"/>
          <w:szCs w:val="21"/>
          <w:shd w:val="clear" w:color="auto" w:fill="FFFFFF"/>
        </w:rPr>
      </w:pPr>
      <w:r>
        <w:rPr>
          <w:rFonts w:hint="eastAsia" w:ascii="宋体" w:hAnsi="宋体"/>
          <w:b/>
          <w:color w:val="000000"/>
          <w:szCs w:val="21"/>
          <w:shd w:val="clear" w:color="auto" w:fill="FFFFFF"/>
        </w:rPr>
        <w:t>三、</w:t>
      </w:r>
      <w:r>
        <w:rPr>
          <w:rFonts w:hint="eastAsia" w:ascii="宋体" w:hAnsi="宋体"/>
          <w:b/>
          <w:color w:val="000000"/>
          <w:szCs w:val="21"/>
          <w:shd w:val="clear" w:color="auto" w:fill="FFFFFF"/>
          <w:lang w:eastAsia="zh-CN"/>
        </w:rPr>
        <w:t>3季度</w:t>
      </w:r>
      <w:r>
        <w:rPr>
          <w:rFonts w:hint="eastAsia" w:ascii="宋体" w:hAnsi="宋体"/>
          <w:b/>
          <w:color w:val="000000"/>
          <w:szCs w:val="21"/>
          <w:shd w:val="clear" w:color="auto" w:fill="FFFFFF"/>
        </w:rPr>
        <w:t>是传统饰金的消费淡季</w:t>
      </w:r>
    </w:p>
    <w:p>
      <w:pPr>
        <w:spacing w:line="360" w:lineRule="auto"/>
        <w:ind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2季度全球黄金首饰需求为480.8吨，虽同比+8％，但远低于五年均值。2017年上半年全球黄金总需求同比+5％至967.4吨，第四次处于1000吨之下。印度2季度需求飙升至126.7吨，同比+41%。主要是因为市场赶在6月份GST公告前囤积了黄金。7月GST税改后，印度开始对黄金征收10%的进口关税，但这不适用于与其签订了自由贸易协定的韩国。部分贸易商7、8月将从韩国进口25吨黄金。因此我们认为印度黄金需求在3季度将较往年小幅增加。</w:t>
      </w:r>
    </w:p>
    <w:p>
      <w:pPr>
        <w:spacing w:line="360" w:lineRule="auto"/>
        <w:ind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2季度国内珠宝首饰对黄金的需求为137.7吨，同比-5％，创中国近五年来最低水平。针对需求的下滑，周大福在五月份推出了22k的收藏品，且路福与腾讯在线游戏“王者荣耀”合作，为该游戏的King Pro League创造了冠军戒指。国内珠宝业针对主流消费群体推出新品，我们认为3季度国内黄金消费有望持稳。</w:t>
      </w:r>
    </w:p>
    <w:p>
      <w:pPr>
        <w:spacing w:line="360" w:lineRule="auto"/>
        <w:ind w:firstLine="422" w:firstLineChars="200"/>
        <w:jc w:val="left"/>
        <w:rPr>
          <w:rFonts w:hint="eastAsia" w:ascii="宋体" w:hAnsi="宋体"/>
          <w:b/>
          <w:color w:val="000000"/>
          <w:szCs w:val="21"/>
          <w:shd w:val="clear" w:color="auto" w:fill="FFFFFF"/>
          <w:lang w:val="en-US" w:eastAsia="zh-CN"/>
        </w:rPr>
      </w:pPr>
      <w:r>
        <w:rPr>
          <w:rFonts w:hint="eastAsia" w:ascii="宋体" w:hAnsi="宋体"/>
          <w:b/>
          <w:color w:val="000000"/>
          <w:szCs w:val="21"/>
          <w:shd w:val="clear" w:color="auto" w:fill="FFFFFF"/>
          <w:lang w:eastAsia="zh-CN"/>
        </w:rPr>
        <w:t>四、全球</w:t>
      </w:r>
      <w:r>
        <w:rPr>
          <w:rFonts w:hint="eastAsia" w:ascii="宋体" w:hAnsi="宋体"/>
          <w:b/>
          <w:color w:val="000000"/>
          <w:szCs w:val="21"/>
          <w:shd w:val="clear" w:color="auto" w:fill="FFFFFF"/>
          <w:lang w:val="en-US" w:eastAsia="zh-CN"/>
        </w:rPr>
        <w:t>中央银行储备增速平稳</w:t>
      </w:r>
    </w:p>
    <w:p>
      <w:pPr>
        <w:numPr>
          <w:ilvl w:val="0"/>
          <w:numId w:val="0"/>
        </w:numPr>
        <w:spacing w:line="360" w:lineRule="auto"/>
        <w:ind w:firstLine="420" w:firstLineChars="200"/>
        <w:jc w:val="left"/>
        <w:rPr>
          <w:rFonts w:hint="eastAsia" w:ascii="宋体" w:hAnsi="宋体"/>
          <w:color w:val="auto"/>
          <w:szCs w:val="21"/>
          <w:lang w:val="en-US" w:eastAsia="zh-CN"/>
        </w:rPr>
      </w:pPr>
      <w:r>
        <w:rPr>
          <w:rFonts w:hint="eastAsia" w:ascii="宋体" w:hAnsi="宋体"/>
          <w:color w:val="000000"/>
          <w:szCs w:val="21"/>
          <w:lang w:val="en-US" w:eastAsia="zh-CN"/>
        </w:rPr>
        <w:t>俄罗斯央行在2季度增持35.7吨黄金储备至1,715.8吨，占全球央行总储量的17％。哈萨克斯坦2季度黄金储备+11.3吨至279吨。土耳其央行2季度增持黄金21吨至137.1吨。德国2季度卖出黄金储备3.8吨用于造币。</w:t>
      </w:r>
      <w:r>
        <w:rPr>
          <w:rFonts w:hint="eastAsia" w:ascii="宋体" w:hAnsi="宋体"/>
          <w:strike w:val="0"/>
          <w:dstrike w:val="0"/>
          <w:color w:val="000000"/>
          <w:szCs w:val="21"/>
          <w:lang w:val="en-US" w:eastAsia="zh-CN"/>
        </w:rPr>
        <w:t>2季度全球央行黄金净购买总额为94.5吨，</w:t>
      </w:r>
      <w:r>
        <w:rPr>
          <w:rFonts w:hint="eastAsia" w:ascii="宋体" w:hAnsi="宋体"/>
          <w:color w:val="000000"/>
          <w:szCs w:val="21"/>
          <w:lang w:val="en-US" w:eastAsia="zh-CN"/>
        </w:rPr>
        <w:t>同比+20％，但低于5年均值135.2吨。</w:t>
      </w:r>
      <w:r>
        <w:rPr>
          <w:rFonts w:hint="eastAsia" w:ascii="宋体" w:hAnsi="宋体"/>
          <w:strike w:val="0"/>
          <w:dstrike w:val="0"/>
          <w:color w:val="000000"/>
          <w:szCs w:val="21"/>
          <w:lang w:val="en-US" w:eastAsia="zh-CN"/>
        </w:rPr>
        <w:t>上半年</w:t>
      </w:r>
      <w:r>
        <w:rPr>
          <w:rFonts w:hint="eastAsia" w:ascii="宋体" w:hAnsi="宋体"/>
          <w:color w:val="000000"/>
          <w:szCs w:val="21"/>
          <w:lang w:val="en-US" w:eastAsia="zh-CN"/>
        </w:rPr>
        <w:t>净采购量达176.7吨，同比-3％。由于页岩气的开采成本约50~60美元/桶，我们预计3季度俄罗斯央行增持黄金节奏变化不大，因而全球央行购金量将无太大变化。</w:t>
      </w:r>
    </w:p>
    <w:p>
      <w:pPr>
        <w:spacing w:line="360" w:lineRule="auto"/>
        <w:ind w:firstLine="405"/>
        <w:jc w:val="left"/>
        <w:rPr>
          <w:rFonts w:hint="eastAsia" w:ascii="宋体" w:hAnsi="宋体"/>
          <w:color w:val="000000"/>
          <w:szCs w:val="21"/>
          <w:lang w:val="en-US" w:eastAsia="zh-CN"/>
        </w:rPr>
      </w:pPr>
      <w:r>
        <w:rPr>
          <w:rFonts w:hint="eastAsia" w:ascii="宋体" w:hAnsi="宋体"/>
          <w:b/>
          <w:color w:val="000000"/>
          <w:szCs w:val="21"/>
        </w:rPr>
        <w:t>五、</w:t>
      </w:r>
      <w:r>
        <w:rPr>
          <w:rFonts w:hint="eastAsia" w:ascii="宋体" w:hAnsi="宋体"/>
          <w:b/>
          <w:color w:val="000000"/>
          <w:szCs w:val="21"/>
          <w:lang w:eastAsia="zh-CN"/>
        </w:rPr>
        <w:t>3季度矿金产量增幅有限</w:t>
      </w:r>
    </w:p>
    <w:p>
      <w:pPr>
        <w:numPr>
          <w:ilvl w:val="0"/>
          <w:numId w:val="0"/>
        </w:numPr>
        <w:spacing w:line="360" w:lineRule="auto"/>
        <w:ind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 xml:space="preserve">由于国内环保整治力度的加大，中国2季度矿金产量同比-8％，料环保整治将延续至3季度。在坦桑尼亚，政府和 Acacia 矿业之间持续的争议使产量-20％。蒙古的金矿产量同比下滑30％，因为奥尤·托尔戈伊（Oyu Tolgoi）低等级的采矿计划将持续至2018年。在印度尼西亚，Grasberg集中出口的恢复导致黄金产量大幅+30％左右。在苏里南，纽蒙特的梅里安金矿持续增长，使得产量同比增长了80％达到年产量10吨。在加拿大，2季度的产量同比+8％，部分是由于希望湾和布鲁斯尼茨矿山的启动。一旦稳定运营，前者每年将增产5吨，而后者每年将增产7吨。Tambomayo（秘鲁）和也在2季度进入生产，Fortnum（澳大利亚）重新开放。预计两者每年将增加全球产量的2-3吨。2017年底将有少量重大项目上线，但由于项目管道薄弱，矿金产量增幅有限。 </w:t>
      </w:r>
    </w:p>
    <w:p>
      <w:pPr>
        <w:spacing w:line="360" w:lineRule="auto"/>
        <w:ind w:firstLine="405"/>
        <w:jc w:val="left"/>
        <w:rPr>
          <w:rFonts w:hint="eastAsia" w:ascii="宋体" w:hAnsi="宋体"/>
          <w:b/>
          <w:color w:val="000000"/>
          <w:szCs w:val="21"/>
          <w:lang w:val="en-US" w:eastAsia="zh-CN"/>
        </w:rPr>
      </w:pPr>
      <w:r>
        <w:rPr>
          <w:rFonts w:hint="eastAsia" w:ascii="宋体" w:hAnsi="宋体"/>
          <w:b/>
          <w:color w:val="000000"/>
          <w:szCs w:val="21"/>
          <w:lang w:val="en-US" w:eastAsia="zh-CN"/>
        </w:rPr>
        <w:t>六、再生金供应量料趋于正常</w:t>
      </w:r>
    </w:p>
    <w:p>
      <w:pPr>
        <w:numPr>
          <w:ilvl w:val="0"/>
          <w:numId w:val="0"/>
        </w:numPr>
        <w:spacing w:line="360" w:lineRule="auto"/>
        <w:ind w:firstLine="420" w:firstLineChars="200"/>
        <w:jc w:val="left"/>
        <w:rPr>
          <w:rFonts w:hint="eastAsia" w:ascii="宋体" w:hAnsi="宋体"/>
          <w:strike w:val="0"/>
          <w:dstrike w:val="0"/>
          <w:color w:val="auto"/>
          <w:szCs w:val="21"/>
          <w:lang w:val="en-US" w:eastAsia="zh-CN"/>
        </w:rPr>
      </w:pPr>
      <w:r>
        <w:rPr>
          <w:rFonts w:hint="eastAsia" w:ascii="宋体" w:hAnsi="宋体"/>
          <w:color w:val="auto"/>
          <w:szCs w:val="21"/>
          <w:lang w:val="en-US" w:eastAsia="zh-CN"/>
        </w:rPr>
        <w:t>2季度再生金供应量大幅下滑，同比-18％至279.9吨。在印度尼西亚，2016年的回收金的量受到了税收减免的推动，而在泰国则传闻政府打压未申报的收入促使黄金遭到抛售。</w:t>
      </w:r>
      <w:r>
        <w:rPr>
          <w:rFonts w:hint="eastAsia" w:ascii="宋体" w:hAnsi="宋体"/>
          <w:strike w:val="0"/>
          <w:dstrike w:val="0"/>
          <w:color w:val="auto"/>
          <w:szCs w:val="21"/>
          <w:lang w:val="en-US" w:eastAsia="zh-CN"/>
        </w:rPr>
        <w:t>2季度，印度受到资助作物播种、政府废除大额钞票后货币流通体系趋于正常化及政府实施GST促使零售商提前出售黄金三因素影响，再生金供应量增多。英国方面，投资者在金价高位兑现，再生金供应增加，但供应仍呈下降趋势。料3季度再生金的供应量较往年变化不大。</w:t>
      </w:r>
    </w:p>
    <w:p>
      <w:pPr>
        <w:numPr>
          <w:ilvl w:val="0"/>
          <w:numId w:val="2"/>
        </w:numPr>
        <w:spacing w:line="360" w:lineRule="auto"/>
        <w:ind w:firstLine="405"/>
        <w:jc w:val="left"/>
        <w:rPr>
          <w:rFonts w:hint="eastAsia" w:ascii="宋体" w:hAnsi="宋体"/>
          <w:b/>
          <w:color w:val="000000"/>
          <w:szCs w:val="21"/>
          <w:lang w:val="en-US" w:eastAsia="zh-CN"/>
        </w:rPr>
      </w:pPr>
      <w:r>
        <w:rPr>
          <w:rFonts w:hint="eastAsia" w:ascii="宋体" w:hAnsi="宋体"/>
          <w:b/>
          <w:color w:val="000000"/>
          <w:szCs w:val="21"/>
          <w:lang w:val="en-US" w:eastAsia="zh-CN"/>
        </w:rPr>
        <w:t>国际政治经济形势潜藏隐忧</w:t>
      </w:r>
    </w:p>
    <w:p>
      <w:pPr>
        <w:numPr>
          <w:ilvl w:val="0"/>
          <w:numId w:val="0"/>
        </w:numPr>
        <w:spacing w:line="360" w:lineRule="auto"/>
        <w:ind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2017年2季度全球黄金ETF持金量增加56吨，同比-76%。2季度全球金条和金币的需求同比+13％至240.8吨，但均低于长期季度均值。</w:t>
      </w:r>
    </w:p>
    <w:p>
      <w:pPr>
        <w:numPr>
          <w:ilvl w:val="0"/>
          <w:numId w:val="0"/>
        </w:numPr>
        <w:spacing w:line="360" w:lineRule="auto"/>
        <w:ind w:firstLine="420" w:firstLineChars="200"/>
        <w:jc w:val="left"/>
        <w:rPr>
          <w:rFonts w:hint="eastAsia" w:ascii="宋体" w:hAnsi="宋体"/>
          <w:color w:val="auto"/>
          <w:szCs w:val="21"/>
          <w:lang w:val="en-US" w:eastAsia="zh-CN"/>
        </w:rPr>
      </w:pPr>
      <w:r>
        <w:rPr>
          <w:rFonts w:hint="eastAsia" w:ascii="宋体" w:hAnsi="宋体"/>
          <w:color w:val="auto"/>
          <w:szCs w:val="21"/>
          <w:highlight w:val="none"/>
          <w:lang w:val="en-US" w:eastAsia="zh-CN"/>
        </w:rPr>
        <w:t>2季度欧洲的黄金ETF增持黄金35.2吨。</w:t>
      </w:r>
      <w:r>
        <w:rPr>
          <w:rFonts w:hint="eastAsia" w:ascii="宋体" w:hAnsi="宋体"/>
          <w:color w:val="auto"/>
          <w:szCs w:val="21"/>
          <w:lang w:val="en-US" w:eastAsia="zh-CN"/>
        </w:rPr>
        <w:t>上半年欧洲的黄金ETF资金流入+128亿，占全球ETF资金净流入量的76％。欧洲2季度金条和金币需求为40.3吨，与去年同期持平。投资者增持黄金，以期在欧洲大选中保障资产安全。随着法国大选和荷兰大选结束，避险情绪缓解。3季度将开启德国大选，虽默克尔领导的执政的基民盟支持率大幅领先，但大选结束前仍存政治不确定性。</w:t>
      </w:r>
    </w:p>
    <w:p>
      <w:pPr>
        <w:numPr>
          <w:ilvl w:val="0"/>
          <w:numId w:val="0"/>
        </w:numPr>
        <w:spacing w:line="360" w:lineRule="auto"/>
        <w:ind w:firstLine="420" w:firstLineChars="200"/>
        <w:jc w:val="left"/>
        <w:rPr>
          <w:rFonts w:hint="eastAsia" w:ascii="宋体" w:hAnsi="宋体"/>
          <w:color w:val="auto"/>
          <w:szCs w:val="21"/>
          <w:lang w:val="en-US" w:eastAsia="zh-CN"/>
        </w:rPr>
      </w:pPr>
      <w:r>
        <w:rPr>
          <w:rFonts w:hint="eastAsia" w:ascii="宋体" w:hAnsi="宋体"/>
          <w:color w:val="auto"/>
          <w:szCs w:val="21"/>
          <w:highlight w:val="none"/>
          <w:lang w:val="en-US" w:eastAsia="zh-CN"/>
        </w:rPr>
        <w:t>2季度美国黄金ETF资金流入量为30.9吨</w:t>
      </w:r>
      <w:r>
        <w:rPr>
          <w:rFonts w:hint="eastAsia" w:ascii="宋体" w:hAnsi="宋体"/>
          <w:color w:val="auto"/>
          <w:szCs w:val="21"/>
          <w:lang w:val="en-US" w:eastAsia="zh-CN"/>
        </w:rPr>
        <w:t>，金条和金币需求下降至10.2吨。截至2017年8月15日，美国最大黄金ETF基金SPDR持仓黄金791.01吨，较6月底减持61.49吨。由于美联储预料美国经济正朝着通胀升温方向运行，料3季度美国投资者对黄金的需求偏稳。</w:t>
      </w:r>
    </w:p>
    <w:p>
      <w:pPr>
        <w:numPr>
          <w:ilvl w:val="0"/>
          <w:numId w:val="0"/>
        </w:numPr>
        <w:spacing w:line="360" w:lineRule="auto"/>
        <w:ind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2季度中国黄金ETF减持9吨至20吨。据报道，流出的资金属投机资金。2季度金条和金币需求同比+56％达到62.6吨。低于前两个季度分别超过100吨的需求量。由于近期中国经济增长良好，且3季度是国内的黄金消费淡季，料3季度国内黄金需求同比变化不大。</w:t>
      </w:r>
    </w:p>
    <w:p>
      <w:pPr>
        <w:spacing w:line="360" w:lineRule="auto"/>
        <w:ind w:firstLine="405"/>
        <w:jc w:val="left"/>
        <w:rPr>
          <w:rFonts w:hint="eastAsia" w:ascii="宋体" w:hAnsi="宋体"/>
          <w:color w:val="000000"/>
          <w:szCs w:val="21"/>
          <w:lang w:eastAsia="zh-CN"/>
        </w:rPr>
      </w:pPr>
      <w:r>
        <w:rPr>
          <w:rFonts w:hint="eastAsia" w:ascii="宋体" w:hAnsi="宋体"/>
          <w:color w:val="000000"/>
          <w:szCs w:val="21"/>
          <w:lang w:val="en-US" w:eastAsia="zh-CN"/>
        </w:rPr>
        <w:t>截至2017年8月8日当周，</w:t>
      </w:r>
      <w:r>
        <w:rPr>
          <w:rFonts w:hint="eastAsia" w:ascii="宋体" w:hAnsi="宋体"/>
          <w:color w:val="000000"/>
          <w:szCs w:val="21"/>
        </w:rPr>
        <w:t>CFTC期货和期权持仓数据显示：COMEX黄金基金净多头持仓为</w:t>
      </w:r>
      <w:r>
        <w:rPr>
          <w:rFonts w:hint="eastAsia" w:ascii="宋体" w:hAnsi="宋体"/>
          <w:color w:val="000000"/>
          <w:szCs w:val="21"/>
          <w:lang w:val="en-US" w:eastAsia="zh-CN"/>
        </w:rPr>
        <w:t>149842</w:t>
      </w:r>
      <w:r>
        <w:rPr>
          <w:rFonts w:hint="eastAsia" w:ascii="宋体" w:hAnsi="宋体"/>
          <w:color w:val="000000"/>
          <w:szCs w:val="21"/>
        </w:rPr>
        <w:t>张，</w:t>
      </w:r>
      <w:r>
        <w:rPr>
          <w:rFonts w:hint="eastAsia" w:ascii="宋体" w:hAnsi="宋体"/>
          <w:color w:val="000000"/>
          <w:szCs w:val="21"/>
          <w:lang w:eastAsia="zh-CN"/>
        </w:rPr>
        <w:t>从</w:t>
      </w:r>
      <w:r>
        <w:rPr>
          <w:rFonts w:hint="eastAsia" w:ascii="宋体" w:hAnsi="宋体"/>
          <w:color w:val="000000"/>
          <w:szCs w:val="21"/>
          <w:lang w:val="en-US" w:eastAsia="zh-CN"/>
        </w:rPr>
        <w:t>7月11日的低位55034张重新上升</w:t>
      </w:r>
      <w:r>
        <w:rPr>
          <w:rFonts w:hint="eastAsia" w:ascii="宋体" w:hAnsi="宋体"/>
          <w:color w:val="000000"/>
          <w:szCs w:val="21"/>
          <w:lang w:eastAsia="zh-CN"/>
        </w:rPr>
        <w:t>。</w:t>
      </w:r>
    </w:p>
    <w:p>
      <w:pPr>
        <w:spacing w:line="360" w:lineRule="auto"/>
        <w:ind w:firstLine="405"/>
        <w:jc w:val="left"/>
        <w:rPr>
          <w:rFonts w:hint="eastAsia" w:ascii="宋体" w:hAnsi="宋体"/>
          <w:color w:val="000000"/>
          <w:szCs w:val="21"/>
          <w:lang w:val="en-US" w:eastAsia="zh-CN"/>
        </w:rPr>
      </w:pPr>
      <w:r>
        <w:rPr>
          <w:rFonts w:hint="eastAsia" w:ascii="宋体" w:hAnsi="宋体"/>
          <w:color w:val="000000"/>
          <w:szCs w:val="21"/>
          <w:lang w:val="en-US" w:eastAsia="zh-CN"/>
        </w:rPr>
        <w:t>值得一提的是，8月初，美朝局势一度陷入紧张状态，恐慌性买盘一度推升金价。随着美国中央情报局局长蓬佩奥表示，没有情报显示两国可能发生核战及朝鲜官方媒体报道，朝鲜领导人金正恩已推迟向美国领土关岛附近发射导弹的决定，美朝局势重新趋于缓和。但朝鲜半岛问题仍未得到最终解决，国际社会仍将处于戒备状态中。</w:t>
      </w:r>
    </w:p>
    <w:p>
      <w:pPr>
        <w:spacing w:line="360" w:lineRule="auto"/>
        <w:ind w:firstLine="405"/>
        <w:jc w:val="left"/>
        <w:rPr>
          <w:rFonts w:hint="eastAsia" w:ascii="宋体" w:hAnsi="宋体"/>
          <w:b/>
          <w:color w:val="000000"/>
          <w:szCs w:val="21"/>
        </w:rPr>
      </w:pPr>
      <w:r>
        <w:rPr>
          <w:rFonts w:hint="eastAsia" w:ascii="宋体" w:hAnsi="宋体"/>
          <w:b/>
          <w:color w:val="000000"/>
          <w:szCs w:val="21"/>
          <w:lang w:eastAsia="zh-CN"/>
        </w:rPr>
        <w:t>八</w:t>
      </w:r>
      <w:r>
        <w:rPr>
          <w:rFonts w:hint="eastAsia" w:ascii="宋体" w:hAnsi="宋体"/>
          <w:b/>
          <w:color w:val="000000"/>
          <w:szCs w:val="21"/>
        </w:rPr>
        <w:t>、总结</w:t>
      </w:r>
    </w:p>
    <w:p>
      <w:pPr>
        <w:spacing w:line="360" w:lineRule="auto"/>
        <w:ind w:firstLine="405"/>
        <w:jc w:val="left"/>
        <w:rPr>
          <w:rFonts w:ascii="宋体" w:hAnsi="宋体"/>
          <w:color w:val="000000"/>
          <w:szCs w:val="21"/>
        </w:rPr>
      </w:pPr>
      <w:r>
        <w:rPr>
          <w:rFonts w:hint="eastAsia" w:ascii="宋体" w:hAnsi="宋体"/>
          <w:color w:val="000000"/>
          <w:szCs w:val="21"/>
          <w:lang w:eastAsia="zh-CN"/>
        </w:rPr>
        <w:t>全球货币政策紧缩步伐放缓，国内供给侧改革大量关停落后产能，有所金属价格大幅上涨推升通胀预期，黄金作为规避通胀的资产配置价值凸显。且虽美朝紧张局势短暂缓解，但由于朝鲜半岛问题仍未得到最终解决，国际社会仍处于戒备状态中</w:t>
      </w:r>
      <w:r>
        <w:rPr>
          <w:rFonts w:hint="eastAsia" w:ascii="宋体" w:hAnsi="宋体"/>
          <w:color w:val="000000"/>
          <w:szCs w:val="21"/>
          <w:lang w:val="en-US" w:eastAsia="zh-CN"/>
        </w:rPr>
        <w:t>。在通胀预期升温和地缘政治局势潜藏隐忧的背景下，料黄金短线走势偏强。仅供参考。</w:t>
      </w:r>
    </w:p>
    <w:p/>
    <w:p>
      <w:pPr>
        <w:spacing w:line="360" w:lineRule="auto"/>
        <w:ind w:firstLine="435"/>
        <w:jc w:val="left"/>
        <w:rPr>
          <w:rFonts w:ascii="宋体" w:hAnsi="宋体"/>
          <w:color w:val="000000"/>
          <w:szCs w:val="21"/>
        </w:rPr>
      </w:pPr>
      <w:bookmarkStart w:id="0" w:name="_GoBack"/>
      <w:bookmarkEnd w:id="0"/>
    </w:p>
    <w:p>
      <w:pPr>
        <w:spacing w:line="360" w:lineRule="auto"/>
        <w:ind w:firstLine="435"/>
        <w:jc w:val="left"/>
        <w:rPr>
          <w:rFonts w:ascii="宋体" w:hAnsi="宋体"/>
          <w:color w:val="000000"/>
          <w:szCs w:val="21"/>
        </w:rPr>
      </w:pPr>
    </w:p>
    <w:p>
      <w:pPr>
        <w:pStyle w:val="9"/>
        <w:spacing w:line="360" w:lineRule="auto"/>
        <w:ind w:firstLine="4048" w:firstLineChars="1440"/>
        <w:rPr>
          <w:rFonts w:ascii="新宋体" w:hAnsi="新宋体" w:eastAsia="新宋体"/>
          <w:b/>
          <w:bCs/>
          <w:color w:val="E36C0A"/>
          <w:sz w:val="28"/>
          <w:szCs w:val="28"/>
        </w:rPr>
      </w:pPr>
      <w:r>
        <w:rPr>
          <w:rFonts w:ascii="新宋体" w:hAnsi="新宋体" w:eastAsia="新宋体" w:cs="新宋体"/>
          <w:b/>
          <w:bCs/>
          <w:color w:val="E36C0A"/>
          <w:sz w:val="28"/>
          <w:szCs w:val="28"/>
        </w:rPr>
        <w:br w:type="page"/>
      </w:r>
      <w:r>
        <w:rPr>
          <w:rFonts w:hint="eastAsia" w:ascii="新宋体" w:hAnsi="新宋体" w:eastAsia="新宋体" w:cs="新宋体"/>
          <w:b/>
          <w:bCs/>
          <w:color w:val="E36C0A"/>
          <w:sz w:val="28"/>
          <w:szCs w:val="28"/>
        </w:rPr>
        <w:t>研究所</w:t>
      </w:r>
    </w:p>
    <w:p>
      <w:pPr>
        <w:pStyle w:val="9"/>
        <w:spacing w:line="360" w:lineRule="auto"/>
        <w:jc w:val="center"/>
        <w:rPr>
          <w:rFonts w:ascii="新宋体" w:hAnsi="新宋体" w:eastAsia="新宋体"/>
          <w:sz w:val="18"/>
          <w:szCs w:val="18"/>
        </w:rPr>
      </w:pPr>
    </w:p>
    <w:p>
      <w:pPr>
        <w:pStyle w:val="9"/>
        <w:spacing w:line="360" w:lineRule="auto"/>
        <w:ind w:firstLine="360" w:firstLineChars="200"/>
        <w:jc w:val="left"/>
        <w:rPr>
          <w:rFonts w:ascii="新宋体" w:hAnsi="新宋体" w:eastAsia="新宋体"/>
          <w:sz w:val="18"/>
          <w:szCs w:val="18"/>
        </w:rPr>
      </w:pPr>
      <w:r>
        <w:rPr>
          <w:rFonts w:hint="eastAsia" w:ascii="新宋体" w:hAnsi="新宋体" w:eastAsia="新宋体" w:cs="新宋体"/>
          <w:sz w:val="18"/>
          <w:szCs w:val="18"/>
        </w:rPr>
        <w:t>公司研究所具有一批丰富实战经验的期货产业研究员及专业的优秀分析师，致力于为客户提供中国资本市场</w:t>
      </w:r>
      <w:r>
        <w:rPr>
          <w:rFonts w:hint="eastAsia" w:ascii="新宋体" w:hAnsi="新宋体" w:eastAsia="新宋体" w:cs="新宋体"/>
          <w:b/>
          <w:bCs/>
          <w:sz w:val="18"/>
          <w:szCs w:val="18"/>
        </w:rPr>
        <w:t>前瞻性、可操作性</w:t>
      </w:r>
      <w:r>
        <w:rPr>
          <w:rFonts w:hint="eastAsia" w:ascii="新宋体" w:hAnsi="新宋体" w:eastAsia="新宋体" w:cs="新宋体"/>
          <w:sz w:val="18"/>
          <w:szCs w:val="18"/>
        </w:rPr>
        <w:t>的投资方案及各类型市场的研究报告，通过对市场进行深度挖掘，提示投资机会和市场风险，完成对资本市场现象、规律的研究探索。</w:t>
      </w:r>
    </w:p>
    <w:p>
      <w:pPr>
        <w:pStyle w:val="9"/>
        <w:spacing w:line="360" w:lineRule="auto"/>
        <w:ind w:firstLine="360" w:firstLineChars="200"/>
        <w:jc w:val="left"/>
        <w:rPr>
          <w:rFonts w:ascii="新宋体" w:hAnsi="新宋体" w:eastAsia="新宋体"/>
          <w:sz w:val="18"/>
          <w:szCs w:val="18"/>
        </w:rPr>
      </w:pPr>
      <w:r>
        <w:rPr>
          <w:rFonts w:hint="eastAsia" w:ascii="新宋体" w:hAnsi="新宋体" w:eastAsia="新宋体" w:cs="新宋体"/>
          <w:sz w:val="18"/>
          <w:szCs w:val="18"/>
        </w:rPr>
        <w:t>研究范围涉及目前所有商品期货以及金融衍生品；我们推崇</w:t>
      </w:r>
      <w:r>
        <w:rPr>
          <w:rFonts w:hint="eastAsia" w:ascii="新宋体" w:hAnsi="新宋体" w:eastAsia="新宋体" w:cs="新宋体"/>
          <w:b/>
          <w:bCs/>
          <w:sz w:val="18"/>
          <w:szCs w:val="18"/>
        </w:rPr>
        <w:t>产业链</w:t>
      </w:r>
      <w:r>
        <w:rPr>
          <w:rFonts w:hint="eastAsia" w:ascii="新宋体" w:hAnsi="新宋体" w:eastAsia="新宋体" w:cs="新宋体"/>
          <w:sz w:val="18"/>
          <w:szCs w:val="18"/>
        </w:rPr>
        <w:t>的研究；我们看重</w:t>
      </w:r>
      <w:r>
        <w:rPr>
          <w:rFonts w:hint="eastAsia" w:ascii="新宋体" w:hAnsi="新宋体" w:eastAsia="新宋体" w:cs="新宋体"/>
          <w:b/>
          <w:bCs/>
          <w:sz w:val="18"/>
          <w:szCs w:val="18"/>
        </w:rPr>
        <w:t>数量分析法</w:t>
      </w:r>
      <w:r>
        <w:rPr>
          <w:rFonts w:hint="eastAsia" w:ascii="新宋体" w:hAnsi="新宋体" w:eastAsia="新宋体" w:cs="新宋体"/>
          <w:sz w:val="18"/>
          <w:szCs w:val="18"/>
        </w:rPr>
        <w:t>；我们提倡</w:t>
      </w:r>
      <w:r>
        <w:rPr>
          <w:rFonts w:hint="eastAsia" w:ascii="新宋体" w:hAnsi="新宋体" w:eastAsia="新宋体" w:cs="新宋体"/>
          <w:b/>
          <w:bCs/>
          <w:sz w:val="18"/>
          <w:szCs w:val="18"/>
        </w:rPr>
        <w:t>独立性</w:t>
      </w:r>
      <w:r>
        <w:rPr>
          <w:rFonts w:hint="eastAsia" w:ascii="新宋体" w:hAnsi="新宋体" w:eastAsia="新宋体" w:cs="新宋体"/>
          <w:sz w:val="18"/>
          <w:szCs w:val="18"/>
        </w:rPr>
        <w:t>，鼓励分析师在纷繁复杂的环境下保持清醒。</w:t>
      </w:r>
    </w:p>
    <w:p>
      <w:pPr>
        <w:pStyle w:val="9"/>
        <w:spacing w:line="360" w:lineRule="auto"/>
        <w:ind w:firstLine="360" w:firstLineChars="200"/>
        <w:jc w:val="left"/>
        <w:rPr>
          <w:rFonts w:ascii="新宋体" w:hAnsi="新宋体" w:eastAsia="新宋体"/>
          <w:sz w:val="18"/>
          <w:szCs w:val="18"/>
        </w:rPr>
      </w:pPr>
      <w:r>
        <w:rPr>
          <w:rFonts w:hint="eastAsia" w:ascii="新宋体" w:hAnsi="新宋体" w:eastAsia="新宋体" w:cs="新宋体"/>
          <w:sz w:val="18"/>
          <w:szCs w:val="18"/>
        </w:rPr>
        <w:t>我们将积极依托</w:t>
      </w:r>
      <w:r>
        <w:rPr>
          <w:rFonts w:hint="eastAsia" w:ascii="新宋体" w:hAnsi="新宋体" w:eastAsia="新宋体" w:cs="新宋体"/>
          <w:b/>
          <w:bCs/>
          <w:sz w:val="18"/>
          <w:szCs w:val="18"/>
        </w:rPr>
        <w:t>股东单位</w:t>
      </w:r>
      <w:r>
        <w:rPr>
          <w:rFonts w:ascii="新宋体" w:hAnsi="新宋体" w:eastAsia="新宋体" w:cs="新宋体"/>
          <w:b/>
          <w:bCs/>
          <w:sz w:val="18"/>
          <w:szCs w:val="18"/>
        </w:rPr>
        <w:t>--</w:t>
      </w:r>
      <w:r>
        <w:rPr>
          <w:rFonts w:hint="eastAsia" w:ascii="新宋体" w:hAnsi="新宋体" w:eastAsia="新宋体" w:cs="新宋体"/>
          <w:b/>
          <w:bCs/>
          <w:sz w:val="18"/>
          <w:szCs w:val="18"/>
        </w:rPr>
        <w:t>广州证券</w:t>
      </w:r>
      <w:r>
        <w:rPr>
          <w:rFonts w:hint="eastAsia" w:ascii="新宋体" w:hAnsi="新宋体" w:eastAsia="新宋体" w:cs="新宋体"/>
          <w:sz w:val="18"/>
          <w:szCs w:val="18"/>
        </w:rPr>
        <w:t>在宏观经济、产业领域的高端研究资源优势，以“</w:t>
      </w:r>
      <w:r>
        <w:rPr>
          <w:rFonts w:hint="eastAsia" w:ascii="新宋体" w:hAnsi="新宋体" w:eastAsia="新宋体" w:cs="新宋体"/>
          <w:b/>
          <w:bCs/>
          <w:sz w:val="18"/>
          <w:szCs w:val="18"/>
        </w:rPr>
        <w:t>宏观、产业和行情策略分析</w:t>
      </w:r>
      <w:r>
        <w:rPr>
          <w:rFonts w:hint="eastAsia" w:ascii="新宋体" w:hAnsi="新宋体" w:eastAsia="新宋体" w:cs="新宋体"/>
          <w:sz w:val="18"/>
          <w:szCs w:val="18"/>
        </w:rPr>
        <w:t>”为核心，大力推进市场化和标准化运作，逐步完善研究产品体系，打造具有特色品牌影响力的现代产业与金融研究所。</w:t>
      </w:r>
    </w:p>
    <w:p>
      <w:pPr>
        <w:pStyle w:val="9"/>
        <w:spacing w:line="360" w:lineRule="auto"/>
        <w:ind w:firstLine="360" w:firstLineChars="200"/>
        <w:rPr>
          <w:rFonts w:ascii="新宋体" w:hAnsi="新宋体" w:eastAsia="新宋体"/>
          <w:b/>
          <w:bCs/>
          <w:sz w:val="18"/>
          <w:szCs w:val="18"/>
        </w:rPr>
      </w:pPr>
      <w:r>
        <w:rPr>
          <w:rFonts w:hint="eastAsia" w:ascii="新宋体" w:hAnsi="新宋体" w:eastAsia="新宋体" w:cs="新宋体"/>
          <w:sz w:val="18"/>
          <w:szCs w:val="18"/>
        </w:rPr>
        <w:t>核心理念：</w:t>
      </w:r>
      <w:r>
        <w:rPr>
          <w:rFonts w:hint="eastAsia" w:ascii="新宋体" w:hAnsi="新宋体" w:eastAsia="新宋体" w:cs="新宋体"/>
          <w:b/>
          <w:bCs/>
          <w:sz w:val="18"/>
          <w:szCs w:val="18"/>
        </w:rPr>
        <w:t>研究创造价值，深入带来远见</w:t>
      </w:r>
    </w:p>
    <w:p>
      <w:pPr>
        <w:pStyle w:val="9"/>
        <w:spacing w:line="360" w:lineRule="auto"/>
        <w:ind w:firstLine="361" w:firstLineChars="200"/>
        <w:rPr>
          <w:rFonts w:ascii="新宋体" w:hAnsi="新宋体" w:eastAsia="新宋体"/>
          <w:b/>
          <w:bCs/>
          <w:sz w:val="18"/>
          <w:szCs w:val="18"/>
        </w:rPr>
      </w:pPr>
    </w:p>
    <w:p>
      <w:pPr>
        <w:pStyle w:val="9"/>
        <w:spacing w:line="360" w:lineRule="auto"/>
        <w:jc w:val="center"/>
        <w:rPr>
          <w:rFonts w:ascii="新宋体" w:hAnsi="新宋体" w:eastAsia="新宋体"/>
          <w:b/>
          <w:bCs/>
          <w:color w:val="E36C0A"/>
          <w:sz w:val="28"/>
          <w:szCs w:val="28"/>
        </w:rPr>
      </w:pPr>
      <w:r>
        <w:rPr>
          <w:rFonts w:hint="eastAsia" w:ascii="新宋体" w:hAnsi="新宋体" w:eastAsia="新宋体" w:cs="新宋体"/>
          <w:b/>
          <w:bCs/>
          <w:color w:val="E36C0A"/>
          <w:sz w:val="28"/>
          <w:szCs w:val="28"/>
        </w:rPr>
        <w:t>联系方式</w:t>
      </w:r>
    </w:p>
    <w:p>
      <w:pPr>
        <w:pStyle w:val="9"/>
        <w:spacing w:line="360" w:lineRule="auto"/>
        <w:rPr>
          <w:rFonts w:ascii="新宋体" w:hAnsi="新宋体" w:eastAsia="新宋体"/>
          <w:sz w:val="24"/>
          <w:szCs w:val="24"/>
        </w:rPr>
      </w:pPr>
    </w:p>
    <w:p>
      <w:pPr>
        <w:pStyle w:val="9"/>
        <w:spacing w:line="360" w:lineRule="auto"/>
        <w:jc w:val="center"/>
        <w:rPr>
          <w:rFonts w:ascii="新宋体" w:hAnsi="新宋体" w:eastAsia="新宋体"/>
        </w:rPr>
      </w:pPr>
      <w:r>
        <w:rPr>
          <w:rFonts w:ascii="新宋体" w:hAnsi="新宋体" w:eastAsia="新宋体"/>
          <w:sz w:val="18"/>
          <w:szCs w:val="18"/>
        </w:rPr>
        <w:drawing>
          <wp:inline distT="0" distB="0" distL="114300" distR="114300">
            <wp:extent cx="810895" cy="723265"/>
            <wp:effectExtent l="0" t="0" r="8255" b="635"/>
            <wp:docPr id="1" name="图片 1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图片1"/>
                    <pic:cNvPicPr>
                      <a:picLocks noChangeAspect="1"/>
                    </pic:cNvPicPr>
                  </pic:nvPicPr>
                  <pic:blipFill>
                    <a:blip r:embed="rId10"/>
                    <a:stretch>
                      <a:fillRect/>
                    </a:stretch>
                  </pic:blipFill>
                  <pic:spPr>
                    <a:xfrm>
                      <a:off x="0" y="0"/>
                      <a:ext cx="810895" cy="723265"/>
                    </a:xfrm>
                    <a:prstGeom prst="rect">
                      <a:avLst/>
                    </a:prstGeom>
                    <a:noFill/>
                    <a:ln w="9525">
                      <a:noFill/>
                    </a:ln>
                  </pic:spPr>
                </pic:pic>
              </a:graphicData>
            </a:graphic>
          </wp:inline>
        </w:drawing>
      </w:r>
      <w:r>
        <w:rPr>
          <w:rFonts w:hint="eastAsia" w:ascii="新宋体" w:hAnsi="新宋体" w:eastAsia="新宋体"/>
        </w:rPr>
        <w:t xml:space="preserve">         </w:t>
      </w:r>
      <w:r>
        <w:rPr>
          <w:rFonts w:ascii="新宋体" w:hAnsi="新宋体" w:eastAsia="新宋体"/>
        </w:rPr>
        <w:drawing>
          <wp:inline distT="0" distB="0" distL="114300" distR="114300">
            <wp:extent cx="731520" cy="731520"/>
            <wp:effectExtent l="0" t="0" r="11430" b="11430"/>
            <wp:docPr id="18" name="图片 12"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图片4"/>
                    <pic:cNvPicPr>
                      <a:picLocks noChangeAspect="1"/>
                    </pic:cNvPicPr>
                  </pic:nvPicPr>
                  <pic:blipFill>
                    <a:blip r:embed="rId11"/>
                    <a:stretch>
                      <a:fillRect/>
                    </a:stretch>
                  </pic:blipFill>
                  <pic:spPr>
                    <a:xfrm>
                      <a:off x="0" y="0"/>
                      <a:ext cx="731520" cy="731520"/>
                    </a:xfrm>
                    <a:prstGeom prst="rect">
                      <a:avLst/>
                    </a:prstGeom>
                    <a:noFill/>
                    <a:ln w="9525">
                      <a:noFill/>
                    </a:ln>
                  </pic:spPr>
                </pic:pic>
              </a:graphicData>
            </a:graphic>
          </wp:inline>
        </w:drawing>
      </w:r>
      <w:r>
        <w:rPr>
          <w:rFonts w:hint="eastAsia" w:ascii="新宋体" w:hAnsi="新宋体" w:eastAsia="新宋体"/>
        </w:rPr>
        <w:t xml:space="preserve">          </w:t>
      </w:r>
      <w:r>
        <w:rPr>
          <w:rFonts w:ascii="新宋体" w:hAnsi="新宋体" w:eastAsia="新宋体"/>
        </w:rPr>
        <w:drawing>
          <wp:inline distT="0" distB="0" distL="114300" distR="114300">
            <wp:extent cx="835025" cy="752475"/>
            <wp:effectExtent l="0" t="0" r="3175" b="9525"/>
            <wp:docPr id="19" name="图片 1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descr="图片3"/>
                    <pic:cNvPicPr>
                      <a:picLocks noChangeAspect="1"/>
                    </pic:cNvPicPr>
                  </pic:nvPicPr>
                  <pic:blipFill>
                    <a:blip r:embed="rId12"/>
                    <a:stretch>
                      <a:fillRect/>
                    </a:stretch>
                  </pic:blipFill>
                  <pic:spPr>
                    <a:xfrm>
                      <a:off x="0" y="0"/>
                      <a:ext cx="835025" cy="752475"/>
                    </a:xfrm>
                    <a:prstGeom prst="rect">
                      <a:avLst/>
                    </a:prstGeom>
                    <a:noFill/>
                    <a:ln w="9525">
                      <a:noFill/>
                    </a:ln>
                  </pic:spPr>
                </pic:pic>
              </a:graphicData>
            </a:graphic>
          </wp:inline>
        </w:drawing>
      </w:r>
      <w:r>
        <w:rPr>
          <w:rFonts w:hint="eastAsia" w:ascii="新宋体" w:hAnsi="新宋体" w:eastAsia="新宋体"/>
        </w:rPr>
        <w:t xml:space="preserve">          </w:t>
      </w:r>
      <w:r>
        <w:rPr>
          <w:rFonts w:ascii="新宋体" w:hAnsi="新宋体" w:eastAsia="新宋体"/>
        </w:rPr>
        <w:drawing>
          <wp:inline distT="0" distB="0" distL="114300" distR="114300">
            <wp:extent cx="835025" cy="755650"/>
            <wp:effectExtent l="0" t="0" r="3175" b="6350"/>
            <wp:docPr id="20" name="图片 1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descr="图片2"/>
                    <pic:cNvPicPr>
                      <a:picLocks noChangeAspect="1"/>
                    </pic:cNvPicPr>
                  </pic:nvPicPr>
                  <pic:blipFill>
                    <a:blip r:embed="rId13"/>
                    <a:stretch>
                      <a:fillRect/>
                    </a:stretch>
                  </pic:blipFill>
                  <pic:spPr>
                    <a:xfrm>
                      <a:off x="0" y="0"/>
                      <a:ext cx="835025" cy="755650"/>
                    </a:xfrm>
                    <a:prstGeom prst="rect">
                      <a:avLst/>
                    </a:prstGeom>
                    <a:noFill/>
                    <a:ln w="9525">
                      <a:noFill/>
                    </a:ln>
                  </pic:spPr>
                </pic:pic>
              </a:graphicData>
            </a:graphic>
          </wp:inline>
        </w:drawing>
      </w:r>
    </w:p>
    <w:p>
      <w:pPr>
        <w:pStyle w:val="9"/>
        <w:spacing w:line="360" w:lineRule="auto"/>
        <w:rPr>
          <w:rFonts w:ascii="新宋体" w:hAnsi="新宋体" w:eastAsia="新宋体"/>
          <w:sz w:val="18"/>
          <w:szCs w:val="18"/>
        </w:rPr>
      </w:pPr>
      <w:r>
        <w:rPr>
          <w:rFonts w:hint="eastAsia" w:ascii="新宋体" w:hAnsi="新宋体" w:eastAsia="新宋体" w:cs="新宋体"/>
          <w:sz w:val="18"/>
          <w:szCs w:val="18"/>
        </w:rPr>
        <w:t xml:space="preserve">       金融研究</w:t>
      </w:r>
      <w:r>
        <w:rPr>
          <w:rFonts w:ascii="新宋体" w:hAnsi="新宋体" w:eastAsia="新宋体" w:cs="新宋体"/>
          <w:sz w:val="18"/>
          <w:szCs w:val="18"/>
        </w:rPr>
        <w:t xml:space="preserve">           </w:t>
      </w:r>
      <w:r>
        <w:rPr>
          <w:rFonts w:hint="eastAsia" w:ascii="新宋体" w:hAnsi="新宋体" w:eastAsia="新宋体" w:cs="新宋体"/>
          <w:sz w:val="18"/>
          <w:szCs w:val="18"/>
        </w:rPr>
        <w:t xml:space="preserve">   </w:t>
      </w:r>
      <w:r>
        <w:rPr>
          <w:rFonts w:ascii="新宋体" w:hAnsi="新宋体" w:eastAsia="新宋体" w:cs="新宋体"/>
          <w:sz w:val="18"/>
          <w:szCs w:val="18"/>
        </w:rPr>
        <w:t xml:space="preserve">  </w:t>
      </w:r>
      <w:r>
        <w:rPr>
          <w:rFonts w:hint="eastAsia" w:ascii="新宋体" w:hAnsi="新宋体" w:eastAsia="新宋体" w:cs="新宋体"/>
          <w:sz w:val="18"/>
          <w:szCs w:val="18"/>
        </w:rPr>
        <w:t>农产品研究</w:t>
      </w:r>
      <w:r>
        <w:rPr>
          <w:rFonts w:ascii="新宋体" w:hAnsi="新宋体" w:eastAsia="新宋体" w:cs="新宋体"/>
          <w:sz w:val="18"/>
          <w:szCs w:val="18"/>
        </w:rPr>
        <w:t xml:space="preserve">           </w:t>
      </w:r>
      <w:r>
        <w:rPr>
          <w:rFonts w:hint="eastAsia" w:ascii="新宋体" w:hAnsi="新宋体" w:eastAsia="新宋体" w:cs="新宋体"/>
          <w:sz w:val="18"/>
          <w:szCs w:val="18"/>
        </w:rPr>
        <w:t xml:space="preserve">      </w:t>
      </w:r>
      <w:r>
        <w:rPr>
          <w:rFonts w:ascii="新宋体" w:hAnsi="新宋体" w:eastAsia="新宋体" w:cs="新宋体"/>
          <w:sz w:val="18"/>
          <w:szCs w:val="18"/>
        </w:rPr>
        <w:t xml:space="preserve"> </w:t>
      </w:r>
      <w:r>
        <w:rPr>
          <w:rFonts w:hint="eastAsia" w:ascii="新宋体" w:hAnsi="新宋体" w:eastAsia="新宋体" w:cs="新宋体"/>
          <w:sz w:val="18"/>
          <w:szCs w:val="18"/>
        </w:rPr>
        <w:t>金属研究</w:t>
      </w:r>
      <w:r>
        <w:rPr>
          <w:rFonts w:ascii="新宋体" w:hAnsi="新宋体" w:eastAsia="新宋体" w:cs="新宋体"/>
          <w:sz w:val="18"/>
          <w:szCs w:val="18"/>
        </w:rPr>
        <w:t xml:space="preserve">         </w:t>
      </w:r>
      <w:r>
        <w:rPr>
          <w:rFonts w:hint="eastAsia" w:ascii="新宋体" w:hAnsi="新宋体" w:eastAsia="新宋体" w:cs="新宋体"/>
          <w:sz w:val="18"/>
          <w:szCs w:val="18"/>
        </w:rPr>
        <w:t xml:space="preserve">  </w:t>
      </w:r>
      <w:r>
        <w:rPr>
          <w:rFonts w:ascii="新宋体" w:hAnsi="新宋体" w:eastAsia="新宋体" w:cs="新宋体"/>
          <w:sz w:val="18"/>
          <w:szCs w:val="18"/>
        </w:rPr>
        <w:t xml:space="preserve">      </w:t>
      </w:r>
      <w:r>
        <w:rPr>
          <w:rFonts w:hint="eastAsia" w:ascii="新宋体" w:hAnsi="新宋体" w:eastAsia="新宋体" w:cs="新宋体"/>
          <w:sz w:val="18"/>
          <w:szCs w:val="18"/>
        </w:rPr>
        <w:t>能源化工</w:t>
      </w:r>
    </w:p>
    <w:p>
      <w:pPr>
        <w:pStyle w:val="9"/>
        <w:spacing w:line="360" w:lineRule="auto"/>
        <w:jc w:val="center"/>
        <w:rPr>
          <w:rFonts w:ascii="新宋体" w:hAnsi="新宋体" w:eastAsia="新宋体"/>
          <w:b/>
          <w:bCs/>
          <w:sz w:val="18"/>
          <w:szCs w:val="18"/>
        </w:rPr>
      </w:pPr>
      <w:r>
        <w:rPr>
          <w:rFonts w:ascii="新宋体" w:hAnsi="新宋体" w:eastAsia="新宋体" w:cs="新宋体"/>
          <w:sz w:val="18"/>
          <w:szCs w:val="18"/>
        </w:rPr>
        <w:t xml:space="preserve">020-22139858   </w:t>
      </w:r>
      <w:r>
        <w:rPr>
          <w:rFonts w:hint="eastAsia" w:ascii="新宋体" w:hAnsi="新宋体" w:eastAsia="新宋体" w:cs="新宋体"/>
          <w:sz w:val="18"/>
          <w:szCs w:val="18"/>
        </w:rPr>
        <w:t xml:space="preserve">    </w:t>
      </w:r>
      <w:r>
        <w:rPr>
          <w:rFonts w:ascii="新宋体" w:hAnsi="新宋体" w:eastAsia="新宋体" w:cs="新宋体"/>
          <w:sz w:val="18"/>
          <w:szCs w:val="18"/>
        </w:rPr>
        <w:t xml:space="preserve">   020-22139813      </w:t>
      </w:r>
      <w:r>
        <w:rPr>
          <w:rFonts w:hint="eastAsia" w:ascii="新宋体" w:hAnsi="新宋体" w:eastAsia="新宋体" w:cs="新宋体"/>
          <w:sz w:val="18"/>
          <w:szCs w:val="18"/>
        </w:rPr>
        <w:t xml:space="preserve">  </w:t>
      </w:r>
      <w:r>
        <w:rPr>
          <w:rFonts w:ascii="新宋体" w:hAnsi="新宋体" w:eastAsia="新宋体" w:cs="新宋体"/>
          <w:sz w:val="18"/>
          <w:szCs w:val="18"/>
        </w:rPr>
        <w:t xml:space="preserve">    020-22139817    </w:t>
      </w:r>
      <w:r>
        <w:rPr>
          <w:rFonts w:hint="eastAsia" w:ascii="新宋体" w:hAnsi="新宋体" w:eastAsia="新宋体" w:cs="新宋体"/>
          <w:sz w:val="18"/>
          <w:szCs w:val="18"/>
        </w:rPr>
        <w:t xml:space="preserve">  </w:t>
      </w:r>
      <w:r>
        <w:rPr>
          <w:rFonts w:ascii="新宋体" w:hAnsi="新宋体" w:eastAsia="新宋体" w:cs="新宋体"/>
          <w:sz w:val="18"/>
          <w:szCs w:val="18"/>
        </w:rPr>
        <w:t xml:space="preserve">     020-23382623</w:t>
      </w:r>
    </w:p>
    <w:p>
      <w:pPr>
        <w:pStyle w:val="9"/>
        <w:spacing w:line="360" w:lineRule="auto"/>
        <w:rPr>
          <w:rFonts w:ascii="新宋体" w:hAnsi="新宋体" w:eastAsia="新宋体"/>
          <w:b/>
          <w:bCs/>
          <w:sz w:val="18"/>
          <w:szCs w:val="18"/>
        </w:rPr>
      </w:pPr>
    </w:p>
    <w:p>
      <w:pPr>
        <w:pStyle w:val="9"/>
        <w:spacing w:line="360" w:lineRule="auto"/>
        <w:rPr>
          <w:rFonts w:ascii="新宋体" w:hAnsi="新宋体" w:eastAsia="新宋体" w:cs="新宋体"/>
          <w:sz w:val="18"/>
          <w:szCs w:val="18"/>
        </w:rPr>
      </w:pPr>
      <w:r>
        <w:rPr>
          <w:rFonts w:hint="eastAsia" w:ascii="新宋体" w:hAnsi="新宋体" w:eastAsia="新宋体" w:cs="新宋体"/>
          <w:sz w:val="18"/>
          <w:szCs w:val="18"/>
        </w:rPr>
        <w:t>地址：</w:t>
      </w:r>
      <w:r>
        <w:rPr>
          <w:rFonts w:ascii="新宋体" w:hAnsi="新宋体" w:eastAsia="新宋体" w:cs="新宋体"/>
          <w:sz w:val="18"/>
          <w:szCs w:val="18"/>
        </w:rPr>
        <w:t xml:space="preserve">广州市天河区珠江西路5号广州国际金融中心10楼 </w:t>
      </w:r>
    </w:p>
    <w:p>
      <w:pPr>
        <w:pStyle w:val="9"/>
        <w:spacing w:line="360" w:lineRule="auto"/>
        <w:rPr>
          <w:rFonts w:ascii="新宋体" w:hAnsi="新宋体" w:eastAsia="新宋体" w:cs="新宋体"/>
          <w:sz w:val="18"/>
          <w:szCs w:val="18"/>
        </w:rPr>
      </w:pPr>
      <w:r>
        <w:rPr>
          <w:rFonts w:hint="eastAsia" w:ascii="新宋体" w:hAnsi="新宋体" w:eastAsia="新宋体" w:cs="新宋体"/>
          <w:sz w:val="18"/>
          <w:szCs w:val="18"/>
        </w:rPr>
        <w:t>邮编：</w:t>
      </w:r>
      <w:r>
        <w:rPr>
          <w:rFonts w:ascii="新宋体" w:hAnsi="新宋体" w:eastAsia="新宋体" w:cs="新宋体"/>
          <w:sz w:val="18"/>
          <w:szCs w:val="18"/>
        </w:rPr>
        <w:t>510623</w:t>
      </w:r>
    </w:p>
    <w:p>
      <w:pPr>
        <w:pStyle w:val="9"/>
        <w:spacing w:line="360" w:lineRule="auto"/>
        <w:rPr>
          <w:rFonts w:ascii="新宋体" w:hAnsi="新宋体" w:eastAsia="新宋体"/>
          <w:b/>
          <w:bCs/>
          <w:sz w:val="18"/>
          <w:szCs w:val="18"/>
        </w:rPr>
      </w:pPr>
    </w:p>
    <w:p>
      <w:pPr>
        <w:pStyle w:val="9"/>
        <w:spacing w:line="360" w:lineRule="auto"/>
        <w:jc w:val="center"/>
        <w:rPr>
          <w:rFonts w:ascii="新宋体" w:hAnsi="新宋体" w:eastAsia="新宋体"/>
          <w:b/>
          <w:bCs/>
          <w:color w:val="800000"/>
          <w:sz w:val="18"/>
          <w:szCs w:val="18"/>
        </w:rPr>
      </w:pPr>
      <w:r>
        <w:rPr>
          <w:rFonts w:hint="eastAsia" w:ascii="新宋体" w:hAnsi="新宋体" w:eastAsia="新宋体" w:cs="新宋体"/>
          <w:b/>
          <w:bCs/>
          <w:color w:val="800000"/>
          <w:sz w:val="18"/>
          <w:szCs w:val="18"/>
        </w:rPr>
        <w:t>免责声明</w:t>
      </w:r>
    </w:p>
    <w:p>
      <w:pPr>
        <w:pStyle w:val="9"/>
        <w:spacing w:line="360" w:lineRule="auto"/>
        <w:ind w:firstLine="360" w:firstLineChars="200"/>
        <w:rPr>
          <w:rFonts w:ascii="新宋体" w:hAnsi="新宋体" w:eastAsia="新宋体"/>
          <w:color w:val="800000"/>
          <w:sz w:val="18"/>
          <w:szCs w:val="18"/>
        </w:rPr>
      </w:pPr>
      <w:r>
        <w:rPr>
          <w:rFonts w:hint="eastAsia" w:ascii="新宋体" w:hAnsi="新宋体" w:eastAsia="新宋体" w:cs="新宋体"/>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pPr>
        <w:pStyle w:val="9"/>
        <w:spacing w:line="360" w:lineRule="auto"/>
        <w:rPr>
          <w:rFonts w:hint="eastAsia" w:ascii="新宋体" w:hAnsi="新宋体" w:eastAsia="新宋体"/>
          <w:color w:val="FFFFFF"/>
          <w:sz w:val="36"/>
          <w:szCs w:val="36"/>
        </w:rPr>
      </w:pPr>
    </w:p>
    <w:p/>
    <w:sectPr>
      <w:headerReference r:id="rId3" w:type="default"/>
      <w:footerReference r:id="rId4" w:type="default"/>
      <w:footerReference r:id="rId5" w:type="even"/>
      <w:pgSz w:w="11906" w:h="16838"/>
      <w:pgMar w:top="1440" w:right="1797" w:bottom="731"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Gill Sans">
    <w:altName w:val="Times New Roman"/>
    <w:panose1 w:val="00000000000000000000"/>
    <w:charset w:val="00"/>
    <w:family w:val="auto"/>
    <w:pitch w:val="default"/>
    <w:sig w:usb0="00000000" w:usb1="00000000" w:usb2="00000000" w:usb3="00000000" w:csb0="00000001" w:csb1="00000000"/>
  </w:font>
  <w:font w:name="ヒラギノ角ゴ Pro W3">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jc w:val="left"/>
      <w:rPr>
        <w:rFonts w:ascii="新宋体" w:hAnsi="新宋体" w:eastAsia="新宋体"/>
        <w:bCs/>
        <w:sz w:val="24"/>
        <w:szCs w:val="24"/>
      </w:rPr>
    </w:pPr>
    <w:r>
      <w:drawing>
        <wp:anchor distT="0" distB="0" distL="114300" distR="114300" simplePos="0" relativeHeight="251658240" behindDoc="0" locked="0" layoutInCell="1" allowOverlap="1">
          <wp:simplePos x="0" y="0"/>
          <wp:positionH relativeFrom="column">
            <wp:posOffset>-685800</wp:posOffset>
          </wp:positionH>
          <wp:positionV relativeFrom="paragraph">
            <wp:posOffset>-300355</wp:posOffset>
          </wp:positionV>
          <wp:extent cx="2055495" cy="732155"/>
          <wp:effectExtent l="0" t="0" r="0" b="0"/>
          <wp:wrapNone/>
          <wp:docPr id="21" name="图片 1027"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27" descr="广期新vi短称(越秀新版)"/>
                  <pic:cNvPicPr>
                    <a:picLocks noChangeAspect="1"/>
                  </pic:cNvPicPr>
                </pic:nvPicPr>
                <pic:blipFill>
                  <a:blip r:embed="rId1"/>
                  <a:stretch>
                    <a:fillRect/>
                  </a:stretch>
                </pic:blipFill>
                <pic:spPr>
                  <a:xfrm>
                    <a:off x="0" y="0"/>
                    <a:ext cx="2055495" cy="732155"/>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3AF71"/>
    <w:multiLevelType w:val="singleLevel"/>
    <w:tmpl w:val="5993AF71"/>
    <w:lvl w:ilvl="0" w:tentative="0">
      <w:start w:val="7"/>
      <w:numFmt w:val="chineseCounting"/>
      <w:suff w:val="nothing"/>
      <w:lvlText w:val="%1、"/>
      <w:lvlJc w:val="left"/>
    </w:lvl>
  </w:abstractNum>
  <w:abstractNum w:abstractNumId="1">
    <w:nsid w:val="5994E352"/>
    <w:multiLevelType w:val="singleLevel"/>
    <w:tmpl w:val="5994E352"/>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62851"/>
    <w:rsid w:val="01384FA9"/>
    <w:rsid w:val="089D2C43"/>
    <w:rsid w:val="0B686E52"/>
    <w:rsid w:val="146A46AF"/>
    <w:rsid w:val="2F8F0079"/>
    <w:rsid w:val="3243681E"/>
    <w:rsid w:val="399F2A64"/>
    <w:rsid w:val="3CFE7985"/>
    <w:rsid w:val="3E5409D2"/>
    <w:rsid w:val="42581E71"/>
    <w:rsid w:val="536E0537"/>
    <w:rsid w:val="53ED1D31"/>
    <w:rsid w:val="63FE4BAD"/>
    <w:rsid w:val="66F06814"/>
    <w:rsid w:val="68A90C5A"/>
    <w:rsid w:val="71862851"/>
    <w:rsid w:val="73E851F0"/>
    <w:rsid w:val="74297D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single" w:color="auto" w:sz="4"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szCs w:val="24"/>
    </w:rPr>
  </w:style>
  <w:style w:type="character" w:styleId="6">
    <w:name w:val="page number"/>
    <w:basedOn w:val="5"/>
    <w:qFormat/>
    <w:uiPriority w:val="0"/>
  </w:style>
  <w:style w:type="paragraph" w:customStyle="1" w:styleId="8">
    <w:name w:val="p15"/>
    <w:basedOn w:val="1"/>
    <w:qFormat/>
    <w:uiPriority w:val="0"/>
    <w:pPr>
      <w:widowControl/>
    </w:pPr>
    <w:rPr>
      <w:kern w:val="0"/>
      <w:szCs w:val="21"/>
    </w:rPr>
  </w:style>
  <w:style w:type="paragraph" w:customStyle="1" w:styleId="9">
    <w:name w:val="p17"/>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2017-08-14T10:49:00Z</dcterms:created>
  <dc:creator>gzqh</dc:creator>
  <cp:lastModifiedBy>gzqh</cp:lastModifiedBy>
  <dcterms:modified xsi:type="dcterms:W3CDTF">2017-08-17T01:37:58Z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