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6E" w:rsidRDefault="0021736E" w:rsidP="0021736E">
      <w:pPr>
        <w:spacing w:before="100" w:beforeAutospacing="1" w:after="100" w:afterAutospacing="1" w:line="360" w:lineRule="auto"/>
        <w:rPr>
          <w:rFonts w:ascii="Times New Roman" w:eastAsia="华文中宋" w:hAnsi="Times New Roman" w:cs="Times New Roman"/>
          <w:b/>
          <w:sz w:val="42"/>
          <w:szCs w:val="42"/>
        </w:rPr>
      </w:pPr>
      <w:r w:rsidRPr="0021736E">
        <w:rPr>
          <w:rFonts w:ascii="Times New Roman" w:eastAsia="华文中宋" w:hAnsi="Times New Roman" w:cs="Times New Roman"/>
          <w:b/>
          <w:sz w:val="42"/>
          <w:szCs w:val="42"/>
        </w:rPr>
        <w:t>附件</w:t>
      </w:r>
      <w:r w:rsidRPr="0021736E">
        <w:rPr>
          <w:rFonts w:ascii="Times New Roman" w:eastAsia="华文中宋" w:hAnsi="Times New Roman" w:cs="Times New Roman"/>
          <w:b/>
          <w:sz w:val="42"/>
          <w:szCs w:val="42"/>
        </w:rPr>
        <w:t>1</w:t>
      </w:r>
    </w:p>
    <w:p w:rsidR="0021736E" w:rsidRPr="0021736E" w:rsidRDefault="0021736E" w:rsidP="0021736E"/>
    <w:p w:rsidR="00D927BD" w:rsidRPr="0021736E" w:rsidRDefault="00D927BD" w:rsidP="0021736E">
      <w:pPr>
        <w:jc w:val="center"/>
        <w:rPr>
          <w:rFonts w:ascii="Times New Roman" w:eastAsia="华文中宋" w:hAnsi="Times New Roman" w:cs="Times New Roman"/>
          <w:b/>
          <w:sz w:val="42"/>
          <w:szCs w:val="42"/>
        </w:rPr>
      </w:pPr>
      <w:r w:rsidRPr="0021736E">
        <w:rPr>
          <w:rFonts w:ascii="Times New Roman" w:eastAsia="华文中宋" w:hAnsi="Times New Roman" w:cs="Times New Roman"/>
          <w:b/>
          <w:sz w:val="42"/>
          <w:szCs w:val="42"/>
        </w:rPr>
        <w:t>20</w:t>
      </w:r>
      <w:r w:rsidRPr="0021736E">
        <w:rPr>
          <w:rFonts w:ascii="Times New Roman" w:eastAsia="华文中宋" w:hAnsi="Times New Roman" w:cs="Times New Roman"/>
          <w:b/>
          <w:sz w:val="42"/>
          <w:szCs w:val="42"/>
        </w:rPr>
        <w:t>号胶期货相关规则起草说明</w:t>
      </w:r>
    </w:p>
    <w:p w:rsidR="00D927BD" w:rsidRPr="0021736E" w:rsidRDefault="00D927BD" w:rsidP="0021736E"/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为服务国家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一带一路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倡议，促进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产融结合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振兴我国天然橡胶产业，助力供给侧结构性改革，</w:t>
      </w:r>
      <w:proofErr w:type="gramStart"/>
      <w:r w:rsidRPr="0021736E">
        <w:rPr>
          <w:rFonts w:ascii="Times New Roman" w:eastAsia="方正仿宋简体" w:hAnsi="Times New Roman" w:cs="Times New Roman"/>
          <w:sz w:val="30"/>
          <w:szCs w:val="30"/>
        </w:rPr>
        <w:t>践行</w:t>
      </w:r>
      <w:proofErr w:type="gramEnd"/>
      <w:r w:rsidRPr="0021736E">
        <w:rPr>
          <w:rFonts w:ascii="Times New Roman" w:eastAsia="方正仿宋简体" w:hAnsi="Times New Roman" w:cs="Times New Roman"/>
          <w:sz w:val="30"/>
          <w:szCs w:val="30"/>
        </w:rPr>
        <w:t>期货市场对外开放战略，上海国际能源交易中心上市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号胶期货，继续沿用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国际平台、净价交易、保税交割、人民币计价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的交易模式，全面引入境外交易者。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21736E">
        <w:rPr>
          <w:rFonts w:ascii="Times New Roman" w:eastAsia="方正黑体简体" w:hAnsi="Times New Roman" w:cs="Times New Roman"/>
          <w:sz w:val="30"/>
          <w:szCs w:val="30"/>
        </w:rPr>
        <w:t>一、</w:t>
      </w:r>
      <w:r w:rsidRPr="0021736E">
        <w:rPr>
          <w:rFonts w:ascii="Times New Roman" w:eastAsia="方正黑体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黑体简体" w:hAnsi="Times New Roman" w:cs="Times New Roman"/>
          <w:sz w:val="30"/>
          <w:szCs w:val="30"/>
        </w:rPr>
        <w:t>号胶期货主要特征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号胶期货以技术分级橡胶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号胶作为标的物，产品性能稳定，不易变质。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号胶通常采用塑料薄膜紧缩包装的托盘大包包装，可堆放。其存储于清洁、干燥、通风良好和温度适宜的室内，采用集装箱或车厢运输，现货交易以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一托盘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为交易基本单位。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用于实物交割的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号胶，质量应当符合或优于上海国际能源交易中心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号胶质量标准。同时，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号胶交割商品实行商品注册管理。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21736E">
        <w:rPr>
          <w:rFonts w:ascii="Times New Roman" w:eastAsia="方正黑体简体" w:hAnsi="Times New Roman" w:cs="Times New Roman"/>
          <w:sz w:val="30"/>
          <w:szCs w:val="30"/>
        </w:rPr>
        <w:t>二、</w:t>
      </w:r>
      <w:r w:rsidRPr="0021736E">
        <w:rPr>
          <w:rFonts w:ascii="Times New Roman" w:eastAsia="方正黑体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黑体简体" w:hAnsi="Times New Roman" w:cs="Times New Roman"/>
          <w:sz w:val="30"/>
          <w:szCs w:val="30"/>
        </w:rPr>
        <w:t>号胶期货与上期所天然橡胶期货业务规则的异同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1B6D4D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交易单位、交割单位、标准仓单重量、交易时间、套期保值交易和套利交易额度的申请时间、交割结算价的确定等与上期所天然橡胶期货相同。</w:t>
      </w:r>
    </w:p>
    <w:p w:rsidR="00D927BD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1B6D4D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bookmarkStart w:id="0" w:name="_GoBack"/>
      <w:bookmarkEnd w:id="0"/>
      <w:r w:rsidRPr="0021736E">
        <w:rPr>
          <w:rFonts w:ascii="Times New Roman" w:eastAsia="方正仿宋简体" w:hAnsi="Times New Roman" w:cs="Times New Roman"/>
          <w:sz w:val="30"/>
          <w:szCs w:val="30"/>
        </w:rPr>
        <w:t>挂牌合约月份、运行不同阶段的持仓限额、标准仓单有效期、检验报告有效期等与上期所天然橡胶期货不同。</w:t>
      </w:r>
    </w:p>
    <w:p w:rsidR="002B1CB3" w:rsidRPr="0021736E" w:rsidRDefault="002B1CB3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 w:hint="eastAsia"/>
          <w:sz w:val="30"/>
          <w:szCs w:val="30"/>
        </w:rPr>
      </w:pP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21736E">
        <w:rPr>
          <w:rFonts w:ascii="Times New Roman" w:eastAsia="方正黑体简体" w:hAnsi="Times New Roman" w:cs="Times New Roman"/>
          <w:sz w:val="30"/>
          <w:szCs w:val="30"/>
        </w:rPr>
        <w:lastRenderedPageBreak/>
        <w:t>三、</w:t>
      </w:r>
      <w:r w:rsidRPr="0021736E">
        <w:rPr>
          <w:rFonts w:ascii="Times New Roman" w:eastAsia="方正黑体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黑体简体" w:hAnsi="Times New Roman" w:cs="Times New Roman"/>
          <w:sz w:val="30"/>
          <w:szCs w:val="30"/>
        </w:rPr>
        <w:t>号胶期货业务规则主要修订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在上期能源现有业务规则框架下，上市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号胶期货主要调整以下几个方面：一是新上市合约及附件：二是《交易细则》中新增一章，为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号胶期货的套保和套利；三是《风险管理细则》中新增一章，为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</w:t>
      </w:r>
      <w:proofErr w:type="gramStart"/>
      <w:r w:rsidRPr="0021736E">
        <w:rPr>
          <w:rFonts w:ascii="Times New Roman" w:eastAsia="方正仿宋简体" w:hAnsi="Times New Roman" w:cs="Times New Roman"/>
          <w:sz w:val="30"/>
          <w:szCs w:val="30"/>
        </w:rPr>
        <w:t>的风控参数</w:t>
      </w:r>
      <w:proofErr w:type="gramEnd"/>
      <w:r w:rsidRPr="0021736E">
        <w:rPr>
          <w:rFonts w:ascii="Times New Roman" w:eastAsia="方正仿宋简体" w:hAnsi="Times New Roman" w:cs="Times New Roman"/>
          <w:sz w:val="30"/>
          <w:szCs w:val="30"/>
        </w:rPr>
        <w:t>；四是《交割细则》中新增一章，为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号胶期货的交割，涉及商品注册具体要求、交割品管理、标准仓单有效期等，由于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21736E">
        <w:rPr>
          <w:rFonts w:ascii="Times New Roman" w:eastAsia="方正仿宋简体" w:hAnsi="Times New Roman" w:cs="Times New Roman"/>
          <w:sz w:val="30"/>
          <w:szCs w:val="30"/>
        </w:rPr>
        <w:t>号胶期货的交割品实行商品注册，《交割细则》关于商品注册的原则性规定也做部分优化。</w:t>
      </w:r>
    </w:p>
    <w:p w:rsidR="00D927BD" w:rsidRPr="0021736E" w:rsidRDefault="00D927BD" w:rsidP="0021736E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1736E">
        <w:rPr>
          <w:rFonts w:ascii="Times New Roman" w:eastAsia="方正仿宋简体" w:hAnsi="Times New Roman" w:cs="Times New Roman"/>
          <w:sz w:val="30"/>
          <w:szCs w:val="30"/>
        </w:rPr>
        <w:t>同时，为了优化吸引境外投资者环境，调整《结算细则》，会员为境外中介机构办理委托代理业务，或者为境外特殊参与者办理委托结算业务，不再要求增加结算准备金余额。</w:t>
      </w:r>
    </w:p>
    <w:p w:rsidR="00C86C64" w:rsidRPr="00D927BD" w:rsidRDefault="00C86C64"/>
    <w:sectPr w:rsidR="00C86C64" w:rsidRPr="00D9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11"/>
    <w:rsid w:val="00136211"/>
    <w:rsid w:val="001B6D4D"/>
    <w:rsid w:val="0021736E"/>
    <w:rsid w:val="002B1CB3"/>
    <w:rsid w:val="00C86C64"/>
    <w:rsid w:val="00D927BD"/>
    <w:rsid w:val="00F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493C-DE63-4661-9545-BF993D5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>SHFE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黄思远</dc:creator>
  <cp:keywords/>
  <dc:description/>
  <cp:lastModifiedBy>丁月</cp:lastModifiedBy>
  <cp:revision>8</cp:revision>
  <dcterms:created xsi:type="dcterms:W3CDTF">2019-07-05T05:06:00Z</dcterms:created>
  <dcterms:modified xsi:type="dcterms:W3CDTF">2019-07-05T08:46:00Z</dcterms:modified>
</cp:coreProperties>
</file>