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94" w:rsidRPr="005C38EA" w:rsidRDefault="009B0E70" w:rsidP="009B0E70">
      <w:pPr>
        <w:rPr>
          <w:rFonts w:ascii="华文中宋" w:eastAsia="华文中宋" w:hAnsi="华文中宋"/>
          <w:b/>
          <w:sz w:val="42"/>
          <w:szCs w:val="42"/>
        </w:rPr>
      </w:pPr>
      <w:r w:rsidRPr="005C38EA">
        <w:rPr>
          <w:rFonts w:ascii="华文中宋" w:eastAsia="华文中宋" w:hAnsi="华文中宋" w:hint="eastAsia"/>
          <w:b/>
          <w:sz w:val="42"/>
          <w:szCs w:val="42"/>
        </w:rPr>
        <w:t>附件</w:t>
      </w:r>
      <w:r w:rsidRPr="005C38EA">
        <w:rPr>
          <w:rFonts w:ascii="华文中宋" w:eastAsia="华文中宋" w:hAnsi="华文中宋"/>
          <w:b/>
          <w:sz w:val="42"/>
          <w:szCs w:val="42"/>
        </w:rPr>
        <w:t>1</w:t>
      </w:r>
    </w:p>
    <w:p w:rsidR="00456E94" w:rsidRDefault="00456E94" w:rsidP="00456E94">
      <w:pPr>
        <w:jc w:val="center"/>
        <w:rPr>
          <w:rFonts w:ascii="黑体" w:eastAsia="黑体" w:hAnsi="黑体"/>
          <w:sz w:val="42"/>
          <w:szCs w:val="42"/>
        </w:rPr>
      </w:pPr>
    </w:p>
    <w:p w:rsidR="005E06B1" w:rsidRPr="009B0E70" w:rsidRDefault="00002198" w:rsidP="00002198">
      <w:pPr>
        <w:rPr>
          <w:rFonts w:ascii="方正大标宋简体" w:eastAsia="方正大标宋简体" w:hAnsi="黑体"/>
          <w:sz w:val="42"/>
          <w:szCs w:val="42"/>
        </w:rPr>
      </w:pPr>
      <w:r>
        <w:rPr>
          <w:rFonts w:ascii="黑体" w:eastAsia="黑体" w:hAnsi="黑体" w:hint="eastAsia"/>
          <w:sz w:val="42"/>
          <w:szCs w:val="42"/>
        </w:rPr>
        <w:t xml:space="preserve">      </w:t>
      </w:r>
      <w:r w:rsidRPr="009B0E70">
        <w:rPr>
          <w:rFonts w:ascii="方正大标宋简体" w:eastAsia="方正大标宋简体" w:hAnsi="黑体" w:hint="eastAsia"/>
          <w:sz w:val="42"/>
          <w:szCs w:val="42"/>
        </w:rPr>
        <w:t>不锈钢</w:t>
      </w:r>
      <w:r w:rsidR="00456E94" w:rsidRPr="009B0E70">
        <w:rPr>
          <w:rFonts w:ascii="方正大标宋简体" w:eastAsia="方正大标宋简体" w:hAnsi="黑体" w:hint="eastAsia"/>
          <w:sz w:val="42"/>
          <w:szCs w:val="42"/>
        </w:rPr>
        <w:t>期货相关规则起草说明</w:t>
      </w:r>
    </w:p>
    <w:p w:rsidR="00456E94" w:rsidRDefault="00456E94" w:rsidP="00456E94">
      <w:pPr>
        <w:jc w:val="center"/>
        <w:rPr>
          <w:rFonts w:ascii="黑体" w:eastAsia="黑体" w:hAnsi="黑体"/>
          <w:sz w:val="42"/>
          <w:szCs w:val="42"/>
        </w:rPr>
      </w:pPr>
    </w:p>
    <w:p w:rsidR="00D65845" w:rsidRPr="005C38EA" w:rsidRDefault="00002198" w:rsidP="00017C1C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5C38EA">
        <w:rPr>
          <w:rFonts w:ascii="Times New Roman" w:eastAsia="方正仿宋简体" w:hAnsi="Times New Roman" w:cs="Times New Roman"/>
          <w:sz w:val="30"/>
          <w:szCs w:val="30"/>
        </w:rPr>
        <w:t>为进一步提升期货市场服务实体经济的能力，</w:t>
      </w:r>
      <w:r w:rsidR="00AD6CA7" w:rsidRPr="005C38EA">
        <w:rPr>
          <w:rFonts w:ascii="Times New Roman" w:eastAsia="方正仿宋简体" w:hAnsi="Times New Roman" w:cs="Times New Roman"/>
          <w:sz w:val="30"/>
          <w:szCs w:val="30"/>
        </w:rPr>
        <w:t>提高不锈钢行业相关企业风险管理水平，促进形成公开、公平的定价机制，</w:t>
      </w:r>
      <w:r w:rsidR="00827B12" w:rsidRPr="005C38EA">
        <w:rPr>
          <w:rFonts w:ascii="Times New Roman" w:eastAsia="方正仿宋简体" w:hAnsi="Times New Roman" w:cs="Times New Roman"/>
          <w:sz w:val="30"/>
          <w:szCs w:val="30"/>
        </w:rPr>
        <w:t>增强我国在全球不锈钢市场的定价影响力</w:t>
      </w:r>
      <w:r w:rsidRPr="005C38EA">
        <w:rPr>
          <w:rFonts w:ascii="Times New Roman" w:eastAsia="方正仿宋简体" w:hAnsi="Times New Roman" w:cs="Times New Roman"/>
          <w:sz w:val="30"/>
          <w:szCs w:val="30"/>
        </w:rPr>
        <w:t>，上海期货交易所（下称上期所）</w:t>
      </w:r>
      <w:r w:rsidR="00317F68" w:rsidRPr="005C38EA">
        <w:rPr>
          <w:rFonts w:ascii="Times New Roman" w:eastAsia="方正仿宋简体" w:hAnsi="Times New Roman" w:cs="Times New Roman"/>
          <w:sz w:val="30"/>
          <w:szCs w:val="30"/>
        </w:rPr>
        <w:t>拟</w:t>
      </w:r>
      <w:r w:rsidRPr="005C38EA">
        <w:rPr>
          <w:rFonts w:ascii="Times New Roman" w:eastAsia="方正仿宋简体" w:hAnsi="Times New Roman" w:cs="Times New Roman"/>
          <w:sz w:val="30"/>
          <w:szCs w:val="30"/>
        </w:rPr>
        <w:t>上市不锈钢期货</w:t>
      </w:r>
      <w:r w:rsidR="009B0E70" w:rsidRPr="005C38EA">
        <w:rPr>
          <w:rFonts w:ascii="Times New Roman" w:eastAsia="方正仿宋简体" w:hAnsi="Times New Roman" w:cs="Times New Roman"/>
          <w:sz w:val="30"/>
          <w:szCs w:val="30"/>
        </w:rPr>
        <w:t>，</w:t>
      </w:r>
      <w:r w:rsidRPr="005C38EA">
        <w:rPr>
          <w:rFonts w:ascii="Times New Roman" w:eastAsia="方正仿宋简体" w:hAnsi="Times New Roman" w:cs="Times New Roman"/>
          <w:sz w:val="30"/>
          <w:szCs w:val="30"/>
        </w:rPr>
        <w:t>构建钢铁期货全品种链。</w:t>
      </w:r>
    </w:p>
    <w:p w:rsidR="009B7054" w:rsidRPr="005C38EA" w:rsidRDefault="00002198" w:rsidP="009B7054">
      <w:pPr>
        <w:rPr>
          <w:rFonts w:ascii="方正黑体简体" w:eastAsia="方正黑体简体" w:hAnsi="Times New Roman" w:cs="Times New Roman" w:hint="eastAsia"/>
          <w:sz w:val="30"/>
          <w:szCs w:val="30"/>
        </w:rPr>
      </w:pPr>
      <w:r w:rsidRPr="005C38EA">
        <w:rPr>
          <w:rFonts w:ascii="方正黑体简体" w:eastAsia="方正黑体简体" w:hAnsi="Times New Roman" w:cs="Times New Roman" w:hint="eastAsia"/>
          <w:sz w:val="30"/>
          <w:szCs w:val="30"/>
        </w:rPr>
        <w:t xml:space="preserve">    </w:t>
      </w:r>
      <w:r w:rsidR="009B7054" w:rsidRPr="005C38EA">
        <w:rPr>
          <w:rFonts w:ascii="方正黑体简体" w:eastAsia="方正黑体简体" w:hAnsi="Times New Roman" w:cs="Times New Roman" w:hint="eastAsia"/>
          <w:sz w:val="30"/>
          <w:szCs w:val="30"/>
        </w:rPr>
        <w:t>一、</w:t>
      </w:r>
      <w:r w:rsidRPr="005C38EA">
        <w:rPr>
          <w:rFonts w:ascii="方正黑体简体" w:eastAsia="方正黑体简体" w:hAnsi="Times New Roman" w:cs="Times New Roman" w:hint="eastAsia"/>
          <w:sz w:val="30"/>
          <w:szCs w:val="30"/>
        </w:rPr>
        <w:t>不锈钢</w:t>
      </w:r>
      <w:r w:rsidR="009B7054" w:rsidRPr="005C38EA">
        <w:rPr>
          <w:rFonts w:ascii="方正黑体简体" w:eastAsia="方正黑体简体" w:hAnsi="Times New Roman" w:cs="Times New Roman" w:hint="eastAsia"/>
          <w:sz w:val="30"/>
          <w:szCs w:val="30"/>
        </w:rPr>
        <w:t>期货主要特征</w:t>
      </w:r>
    </w:p>
    <w:p w:rsidR="00AC4A71" w:rsidRPr="005C38EA" w:rsidRDefault="00827B12" w:rsidP="00017C1C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5C38EA">
        <w:rPr>
          <w:rFonts w:ascii="Times New Roman" w:eastAsia="方正仿宋简体" w:hAnsi="Times New Roman" w:cs="Times New Roman"/>
          <w:sz w:val="30"/>
          <w:szCs w:val="30"/>
        </w:rPr>
        <w:t>不锈钢</w:t>
      </w:r>
      <w:r w:rsidR="00AC4A71" w:rsidRPr="005C38EA">
        <w:rPr>
          <w:rFonts w:ascii="Times New Roman" w:eastAsia="方正仿宋简体" w:hAnsi="Times New Roman" w:cs="Times New Roman"/>
          <w:sz w:val="30"/>
          <w:szCs w:val="30"/>
        </w:rPr>
        <w:t>期货以</w:t>
      </w:r>
      <w:r w:rsidRPr="005C38EA">
        <w:rPr>
          <w:rFonts w:ascii="Times New Roman" w:eastAsia="方正仿宋简体" w:hAnsi="Times New Roman" w:cs="Times New Roman"/>
          <w:sz w:val="30"/>
          <w:szCs w:val="30"/>
        </w:rPr>
        <w:t>304-2B</w:t>
      </w:r>
      <w:r w:rsidRPr="005C38EA">
        <w:rPr>
          <w:rFonts w:ascii="Times New Roman" w:eastAsia="方正仿宋简体" w:hAnsi="Times New Roman" w:cs="Times New Roman"/>
          <w:sz w:val="30"/>
          <w:szCs w:val="30"/>
        </w:rPr>
        <w:t>不锈钢冷轧卷板</w:t>
      </w:r>
      <w:r w:rsidR="00AC4A71" w:rsidRPr="005C38EA">
        <w:rPr>
          <w:rFonts w:ascii="Times New Roman" w:eastAsia="方正仿宋简体" w:hAnsi="Times New Roman" w:cs="Times New Roman"/>
          <w:sz w:val="30"/>
          <w:szCs w:val="30"/>
        </w:rPr>
        <w:t>作为标的物，</w:t>
      </w:r>
      <w:r w:rsidRPr="005C38EA">
        <w:rPr>
          <w:rFonts w:ascii="Times New Roman" w:eastAsia="方正仿宋简体" w:hAnsi="Times New Roman" w:cs="Times New Roman"/>
          <w:sz w:val="30"/>
          <w:szCs w:val="30"/>
        </w:rPr>
        <w:t>物理化学</w:t>
      </w:r>
      <w:r w:rsidR="00AC4A71" w:rsidRPr="005C38EA">
        <w:rPr>
          <w:rFonts w:ascii="Times New Roman" w:eastAsia="方正仿宋简体" w:hAnsi="Times New Roman" w:cs="Times New Roman"/>
          <w:sz w:val="30"/>
          <w:szCs w:val="30"/>
        </w:rPr>
        <w:t>性能稳定，不易变质。</w:t>
      </w:r>
    </w:p>
    <w:p w:rsidR="009B7054" w:rsidRPr="005C38EA" w:rsidRDefault="00786022" w:rsidP="00017C1C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5C38EA">
        <w:rPr>
          <w:rFonts w:ascii="Times New Roman" w:eastAsia="方正仿宋简体" w:hAnsi="Times New Roman" w:cs="Times New Roman"/>
          <w:sz w:val="30"/>
          <w:szCs w:val="30"/>
        </w:rPr>
        <w:t>不锈钢</w:t>
      </w:r>
      <w:r w:rsidR="00AC4A71" w:rsidRPr="005C38EA">
        <w:rPr>
          <w:rFonts w:ascii="Times New Roman" w:eastAsia="方正仿宋简体" w:hAnsi="Times New Roman" w:cs="Times New Roman"/>
          <w:sz w:val="30"/>
          <w:szCs w:val="30"/>
        </w:rPr>
        <w:t>通常采用</w:t>
      </w:r>
      <w:r w:rsidRPr="005C38EA">
        <w:rPr>
          <w:rFonts w:ascii="Times New Roman" w:eastAsia="方正仿宋简体" w:hAnsi="Times New Roman" w:cs="Times New Roman"/>
          <w:sz w:val="30"/>
          <w:szCs w:val="30"/>
        </w:rPr>
        <w:t>金属护板和护角包裹防锈纸进行包装</w:t>
      </w:r>
      <w:r w:rsidR="00AC4A71" w:rsidRPr="005C38EA">
        <w:rPr>
          <w:rFonts w:ascii="Times New Roman" w:eastAsia="方正仿宋简体" w:hAnsi="Times New Roman" w:cs="Times New Roman"/>
          <w:sz w:val="30"/>
          <w:szCs w:val="30"/>
        </w:rPr>
        <w:t>，可堆放</w:t>
      </w:r>
      <w:r w:rsidR="004D67BD" w:rsidRPr="005C38EA">
        <w:rPr>
          <w:rFonts w:ascii="Times New Roman" w:eastAsia="方正仿宋简体" w:hAnsi="Times New Roman" w:cs="Times New Roman"/>
          <w:sz w:val="30"/>
          <w:szCs w:val="30"/>
        </w:rPr>
        <w:t>，</w:t>
      </w:r>
      <w:r w:rsidR="00AC4A71" w:rsidRPr="005C38EA">
        <w:rPr>
          <w:rFonts w:ascii="Times New Roman" w:eastAsia="方正仿宋简体" w:hAnsi="Times New Roman" w:cs="Times New Roman"/>
          <w:sz w:val="30"/>
          <w:szCs w:val="30"/>
        </w:rPr>
        <w:t>其存储于清洁、干燥、通风良好和温度适宜的室内，采用集装箱或</w:t>
      </w:r>
      <w:r w:rsidR="009B0E70" w:rsidRPr="005C38EA">
        <w:rPr>
          <w:rFonts w:ascii="Times New Roman" w:eastAsia="方正仿宋简体" w:hAnsi="Times New Roman" w:cs="Times New Roman"/>
          <w:sz w:val="30"/>
          <w:szCs w:val="30"/>
        </w:rPr>
        <w:t>者</w:t>
      </w:r>
      <w:r w:rsidR="00AC4A71" w:rsidRPr="005C38EA">
        <w:rPr>
          <w:rFonts w:ascii="Times New Roman" w:eastAsia="方正仿宋简体" w:hAnsi="Times New Roman" w:cs="Times New Roman"/>
          <w:sz w:val="30"/>
          <w:szCs w:val="30"/>
        </w:rPr>
        <w:t>车厢运输，</w:t>
      </w:r>
      <w:r w:rsidR="00327531" w:rsidRPr="005C38EA">
        <w:rPr>
          <w:rFonts w:ascii="Times New Roman" w:eastAsia="方正仿宋简体" w:hAnsi="Times New Roman" w:cs="Times New Roman"/>
          <w:color w:val="000000"/>
          <w:sz w:val="30"/>
          <w:szCs w:val="30"/>
        </w:rPr>
        <w:t>储运便利</w:t>
      </w:r>
      <w:r w:rsidR="00AC4A71" w:rsidRPr="005C38EA"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:rsidR="00AC4A71" w:rsidRPr="005C38EA" w:rsidRDefault="00AC4A71" w:rsidP="00017C1C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5C38EA">
        <w:rPr>
          <w:rFonts w:ascii="Times New Roman" w:eastAsia="方正仿宋简体" w:hAnsi="Times New Roman" w:cs="Times New Roman"/>
          <w:sz w:val="30"/>
          <w:szCs w:val="30"/>
        </w:rPr>
        <w:t>用于实物交割的</w:t>
      </w:r>
      <w:r w:rsidR="00327531" w:rsidRPr="005C38EA">
        <w:rPr>
          <w:rFonts w:ascii="Times New Roman" w:eastAsia="方正仿宋简体" w:hAnsi="Times New Roman" w:cs="Times New Roman"/>
          <w:sz w:val="30"/>
          <w:szCs w:val="30"/>
        </w:rPr>
        <w:t>不锈钢</w:t>
      </w:r>
      <w:r w:rsidRPr="005C38EA">
        <w:rPr>
          <w:rFonts w:ascii="Times New Roman" w:eastAsia="方正仿宋简体" w:hAnsi="Times New Roman" w:cs="Times New Roman"/>
          <w:sz w:val="30"/>
          <w:szCs w:val="30"/>
        </w:rPr>
        <w:t>，质量应当符合或</w:t>
      </w:r>
      <w:r w:rsidR="004D67BD" w:rsidRPr="005C38EA">
        <w:rPr>
          <w:rFonts w:ascii="Times New Roman" w:eastAsia="方正仿宋简体" w:hAnsi="Times New Roman" w:cs="Times New Roman"/>
          <w:sz w:val="30"/>
          <w:szCs w:val="30"/>
        </w:rPr>
        <w:t>者</w:t>
      </w:r>
      <w:r w:rsidRPr="005C38EA">
        <w:rPr>
          <w:rFonts w:ascii="Times New Roman" w:eastAsia="方正仿宋简体" w:hAnsi="Times New Roman" w:cs="Times New Roman"/>
          <w:sz w:val="30"/>
          <w:szCs w:val="30"/>
        </w:rPr>
        <w:t>优于上海</w:t>
      </w:r>
      <w:r w:rsidR="00327531" w:rsidRPr="005C38EA">
        <w:rPr>
          <w:rFonts w:ascii="Times New Roman" w:eastAsia="方正仿宋简体" w:hAnsi="Times New Roman" w:cs="Times New Roman"/>
          <w:sz w:val="30"/>
          <w:szCs w:val="30"/>
        </w:rPr>
        <w:t>期货交易所不锈钢</w:t>
      </w:r>
      <w:r w:rsidRPr="005C38EA">
        <w:rPr>
          <w:rFonts w:ascii="Times New Roman" w:eastAsia="方正仿宋简体" w:hAnsi="Times New Roman" w:cs="Times New Roman"/>
          <w:sz w:val="30"/>
          <w:szCs w:val="30"/>
        </w:rPr>
        <w:t>质量标准。</w:t>
      </w:r>
    </w:p>
    <w:p w:rsidR="00002198" w:rsidRPr="005C38EA" w:rsidRDefault="00002198" w:rsidP="005C38EA">
      <w:pPr>
        <w:ind w:firstLineChars="200" w:firstLine="600"/>
        <w:rPr>
          <w:rFonts w:ascii="方正黑体简体" w:eastAsia="方正黑体简体" w:hAnsi="Times New Roman" w:cs="Times New Roman" w:hint="eastAsia"/>
          <w:sz w:val="30"/>
          <w:szCs w:val="30"/>
        </w:rPr>
      </w:pPr>
      <w:r w:rsidRPr="005C38EA">
        <w:rPr>
          <w:rFonts w:ascii="方正黑体简体" w:eastAsia="方正黑体简体" w:hAnsi="Times New Roman" w:cs="Times New Roman" w:hint="eastAsia"/>
          <w:sz w:val="30"/>
          <w:szCs w:val="30"/>
        </w:rPr>
        <w:t xml:space="preserve"> </w:t>
      </w:r>
      <w:r w:rsidR="00134E2A" w:rsidRPr="005C38EA">
        <w:rPr>
          <w:rFonts w:ascii="方正黑体简体" w:eastAsia="方正黑体简体" w:hAnsi="Times New Roman" w:cs="Times New Roman" w:hint="eastAsia"/>
          <w:sz w:val="30"/>
          <w:szCs w:val="30"/>
        </w:rPr>
        <w:t>二、</w:t>
      </w:r>
      <w:r w:rsidRPr="005C38EA">
        <w:rPr>
          <w:rFonts w:ascii="方正黑体简体" w:eastAsia="方正黑体简体" w:hAnsi="Times New Roman" w:cs="Times New Roman" w:hint="eastAsia"/>
          <w:sz w:val="30"/>
          <w:szCs w:val="30"/>
        </w:rPr>
        <w:t>不锈钢期货合约参数</w:t>
      </w:r>
    </w:p>
    <w:p w:rsidR="009B06EE" w:rsidRPr="005C38EA" w:rsidRDefault="002D4427" w:rsidP="009C20E6">
      <w:pPr>
        <w:pStyle w:val="a5"/>
        <w:wordWrap w:val="0"/>
        <w:snapToGrid w:val="0"/>
        <w:spacing w:line="560" w:lineRule="exact"/>
        <w:ind w:firstLineChars="200" w:firstLine="600"/>
        <w:jc w:val="both"/>
        <w:rPr>
          <w:rFonts w:ascii="Times New Roman" w:eastAsia="方正仿宋简体" w:hAnsi="Times New Roman" w:cs="Times New Roman"/>
          <w:kern w:val="2"/>
          <w:sz w:val="30"/>
          <w:szCs w:val="30"/>
        </w:rPr>
      </w:pPr>
      <w:r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根据此次公布的</w:t>
      </w:r>
      <w:r w:rsidR="00EA3740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不锈钢</w:t>
      </w:r>
      <w:r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合约（征求意见稿），</w:t>
      </w:r>
      <w:r w:rsidR="00EA3740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不锈钢</w:t>
      </w:r>
      <w:r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交易单位为</w:t>
      </w:r>
      <w:r w:rsidR="00EA3740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5</w:t>
      </w:r>
      <w:r w:rsidR="00EA3740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吨</w:t>
      </w:r>
      <w:r w:rsidR="00EA3740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/</w:t>
      </w:r>
      <w:r w:rsidR="00EA3740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手</w:t>
      </w:r>
      <w:bookmarkStart w:id="0" w:name="_GoBack"/>
      <w:bookmarkEnd w:id="0"/>
      <w:r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；</w:t>
      </w:r>
      <w:r w:rsidR="00D56217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报价单位为元（人民币）</w:t>
      </w:r>
      <w:r w:rsidR="00D56217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/</w:t>
      </w:r>
      <w:r w:rsidR="00D56217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吨；</w:t>
      </w:r>
      <w:r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最小变动价位为</w:t>
      </w:r>
      <w:r w:rsidR="00EA3740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5</w:t>
      </w:r>
      <w:r w:rsidR="00D56217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元</w:t>
      </w:r>
      <w:r w:rsidR="00EA3740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/</w:t>
      </w:r>
      <w:r w:rsidR="00D56217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吨</w:t>
      </w:r>
      <w:r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；涨跌停板幅度</w:t>
      </w:r>
      <w:r w:rsidR="00EA3740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为上一交易日结算价</w:t>
      </w:r>
      <w:r w:rsidR="00EA3740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±4%</w:t>
      </w:r>
      <w:r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；合约月份</w:t>
      </w:r>
      <w:r w:rsidR="00EA3740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为</w:t>
      </w:r>
      <w:r w:rsidR="00EA3740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1-12</w:t>
      </w:r>
      <w:r w:rsidR="00EA3740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月</w:t>
      </w:r>
      <w:r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；</w:t>
      </w:r>
      <w:r w:rsidR="00EA3740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交易时间为上午</w:t>
      </w:r>
      <w:r w:rsidR="00EA3740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9:00-11:30</w:t>
      </w:r>
      <w:r w:rsidR="00EA3740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，下午</w:t>
      </w:r>
      <w:r w:rsidR="00EA3740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1:30-3:00</w:t>
      </w:r>
      <w:r w:rsidR="00EA3740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和交易所规定的其他交易时间；最后交易日</w:t>
      </w:r>
      <w:r w:rsidR="000A4C7F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为</w:t>
      </w:r>
      <w:r w:rsidR="00EA3740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合约月份的</w:t>
      </w:r>
      <w:r w:rsidR="00EA3740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15</w:t>
      </w:r>
      <w:r w:rsidR="00EA3740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日（遇国家法定节假日顺延</w:t>
      </w:r>
      <w:r w:rsidR="00EA3740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,</w:t>
      </w:r>
      <w:r w:rsidR="00EA3740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春节月份等最后交易日交易所可另行调整并通知）；</w:t>
      </w:r>
      <w:r w:rsidR="00EA3740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lastRenderedPageBreak/>
        <w:t>交割日期为最后交易日后连续五个工作日；交割品级标准品为厚度</w:t>
      </w:r>
      <w:r w:rsidR="00EA3740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2.0mm</w:t>
      </w:r>
      <w:r w:rsidR="00EA3740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、宽度</w:t>
      </w:r>
      <w:r w:rsidR="00EA3740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1219mm</w:t>
      </w:r>
      <w:r w:rsidR="00EA3740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、表面加工类型为</w:t>
      </w:r>
      <w:r w:rsidR="00EA3740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2B</w:t>
      </w:r>
      <w:r w:rsidR="00EA3740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、边部状态为切边的</w:t>
      </w:r>
      <w:r w:rsidR="00EA3740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304</w:t>
      </w:r>
      <w:r w:rsidR="00EA3740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奥氏体不锈钢冷轧卷板</w:t>
      </w:r>
      <w:r w:rsidR="00D56217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，</w:t>
      </w:r>
      <w:r w:rsidR="00EA3740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质量符合</w:t>
      </w:r>
      <w:r w:rsidR="00327531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GB/T3280-2015</w:t>
      </w:r>
      <w:r w:rsidR="00327531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《不锈钢冷轧钢板和钢带》要求的</w:t>
      </w:r>
      <w:r w:rsidR="00327531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06Cr19Ni10</w:t>
      </w:r>
      <w:r w:rsidR="00327531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，或者</w:t>
      </w:r>
      <w:r w:rsidR="00327531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JIS G 4305</w:t>
      </w:r>
      <w:r w:rsidR="00327531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：</w:t>
      </w:r>
      <w:r w:rsidR="00327531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2012</w:t>
      </w:r>
      <w:r w:rsidR="00327531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《冷轧不锈钢钢板及钢带》的</w:t>
      </w:r>
      <w:r w:rsidR="00327531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SUS304</w:t>
      </w:r>
      <w:r w:rsidR="00327531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，以及上海期货交易所规定的表面质量技术要求</w:t>
      </w:r>
      <w:r w:rsidR="009B06EE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；</w:t>
      </w:r>
      <w:r w:rsidR="00EA3740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最低交易保证金为合约价值的</w:t>
      </w:r>
      <w:r w:rsidR="00EA3740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5%</w:t>
      </w:r>
      <w:r w:rsidR="009B06EE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；</w:t>
      </w:r>
      <w:r w:rsidR="00EA3740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交割方式为实物交割</w:t>
      </w:r>
      <w:r w:rsidR="009B06EE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；</w:t>
      </w:r>
      <w:r w:rsidR="00EA3740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交割单位</w:t>
      </w:r>
      <w:r w:rsidR="009B06EE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为</w:t>
      </w:r>
      <w:r w:rsidR="00EA3740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60</w:t>
      </w:r>
      <w:r w:rsidR="00EA3740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吨</w:t>
      </w:r>
      <w:r w:rsidR="00D56217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；交易代码为</w:t>
      </w:r>
      <w:r w:rsidR="00D56217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SS</w:t>
      </w:r>
      <w:r w:rsidR="00D56217" w:rsidRPr="005C38EA">
        <w:rPr>
          <w:rFonts w:ascii="Times New Roman" w:eastAsia="方正仿宋简体" w:hAnsi="Times New Roman" w:cs="Times New Roman"/>
          <w:kern w:val="2"/>
          <w:sz w:val="30"/>
          <w:szCs w:val="30"/>
        </w:rPr>
        <w:t>。</w:t>
      </w:r>
    </w:p>
    <w:p w:rsidR="009B7054" w:rsidRPr="005C38EA" w:rsidRDefault="00134E2A" w:rsidP="005C38EA">
      <w:pPr>
        <w:ind w:firstLineChars="200" w:firstLine="600"/>
        <w:rPr>
          <w:rFonts w:ascii="方正黑体简体" w:eastAsia="方正黑体简体" w:hAnsi="Times New Roman" w:cs="Times New Roman" w:hint="eastAsia"/>
          <w:sz w:val="30"/>
          <w:szCs w:val="30"/>
        </w:rPr>
      </w:pPr>
      <w:r w:rsidRPr="005C38EA">
        <w:rPr>
          <w:rFonts w:ascii="方正黑体简体" w:eastAsia="方正黑体简体" w:hAnsi="Times New Roman" w:cs="Times New Roman" w:hint="eastAsia"/>
          <w:sz w:val="30"/>
          <w:szCs w:val="30"/>
        </w:rPr>
        <w:t>三</w:t>
      </w:r>
      <w:r w:rsidR="009B7054" w:rsidRPr="005C38EA">
        <w:rPr>
          <w:rFonts w:ascii="方正黑体简体" w:eastAsia="方正黑体简体" w:hAnsi="Times New Roman" w:cs="Times New Roman" w:hint="eastAsia"/>
          <w:sz w:val="30"/>
          <w:szCs w:val="30"/>
        </w:rPr>
        <w:t>、</w:t>
      </w:r>
      <w:r w:rsidR="00002198" w:rsidRPr="005C38EA">
        <w:rPr>
          <w:rFonts w:ascii="方正黑体简体" w:eastAsia="方正黑体简体" w:hAnsi="Times New Roman" w:cs="Times New Roman" w:hint="eastAsia"/>
          <w:sz w:val="30"/>
          <w:szCs w:val="30"/>
        </w:rPr>
        <w:t>不锈钢</w:t>
      </w:r>
      <w:r w:rsidRPr="005C38EA">
        <w:rPr>
          <w:rFonts w:ascii="方正黑体简体" w:eastAsia="方正黑体简体" w:hAnsi="Times New Roman" w:cs="Times New Roman" w:hint="eastAsia"/>
          <w:sz w:val="30"/>
          <w:szCs w:val="30"/>
        </w:rPr>
        <w:t>期货</w:t>
      </w:r>
      <w:r w:rsidR="009B7054" w:rsidRPr="005C38EA">
        <w:rPr>
          <w:rFonts w:ascii="方正黑体简体" w:eastAsia="方正黑体简体" w:hAnsi="Times New Roman" w:cs="Times New Roman" w:hint="eastAsia"/>
          <w:sz w:val="30"/>
          <w:szCs w:val="30"/>
        </w:rPr>
        <w:t>业务规则主要修订</w:t>
      </w:r>
    </w:p>
    <w:p w:rsidR="00002198" w:rsidRPr="005C38EA" w:rsidRDefault="00002198" w:rsidP="00017C1C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5C38EA">
        <w:rPr>
          <w:rFonts w:ascii="Times New Roman" w:eastAsia="方正仿宋简体" w:hAnsi="Times New Roman" w:cs="Times New Roman"/>
          <w:sz w:val="30"/>
          <w:szCs w:val="30"/>
        </w:rPr>
        <w:t>在上期所现有业务规则框架下，随着不锈钢品种的引入，规则层面的修订主要体现在以下几个方面：一是新上市合约及附件；二是《交割细则》中新增一章，为不锈钢的交割，涉及交割品管理、标准仓单有效期等</w:t>
      </w:r>
      <w:r w:rsidR="004D67BD" w:rsidRPr="005C38EA">
        <w:rPr>
          <w:rFonts w:ascii="Times New Roman" w:eastAsia="方正仿宋简体" w:hAnsi="Times New Roman" w:cs="Times New Roman"/>
          <w:sz w:val="30"/>
          <w:szCs w:val="30"/>
        </w:rPr>
        <w:t>；</w:t>
      </w:r>
      <w:r w:rsidRPr="005C38EA">
        <w:rPr>
          <w:rFonts w:ascii="Times New Roman" w:eastAsia="方正仿宋简体" w:hAnsi="Times New Roman" w:cs="Times New Roman"/>
          <w:sz w:val="30"/>
          <w:szCs w:val="30"/>
        </w:rPr>
        <w:t>三是制定《指定不锈钢厂库交割办法》，</w:t>
      </w:r>
      <w:r w:rsidR="009B0E70" w:rsidRPr="005C38EA">
        <w:rPr>
          <w:rFonts w:ascii="Times New Roman" w:eastAsia="方正仿宋简体" w:hAnsi="Times New Roman" w:cs="Times New Roman"/>
          <w:sz w:val="30"/>
          <w:szCs w:val="30"/>
        </w:rPr>
        <w:t>规定</w:t>
      </w:r>
      <w:r w:rsidRPr="005C38EA">
        <w:rPr>
          <w:rFonts w:ascii="Times New Roman" w:eastAsia="方正仿宋简体" w:hAnsi="Times New Roman" w:cs="Times New Roman"/>
          <w:sz w:val="30"/>
          <w:szCs w:val="30"/>
        </w:rPr>
        <w:t>不锈钢厂库标准仓单的生成、流转、注销等；四是在《风险控制管理办法</w:t>
      </w:r>
      <w:proofErr w:type="gramStart"/>
      <w:r w:rsidRPr="005C38EA">
        <w:rPr>
          <w:rFonts w:ascii="Times New Roman" w:eastAsia="方正仿宋简体" w:hAnsi="Times New Roman" w:cs="Times New Roman"/>
          <w:sz w:val="30"/>
          <w:szCs w:val="30"/>
        </w:rPr>
        <w:t>》</w:t>
      </w:r>
      <w:proofErr w:type="gramEnd"/>
      <w:r w:rsidRPr="005C38EA">
        <w:rPr>
          <w:rFonts w:ascii="Times New Roman" w:eastAsia="方正仿宋简体" w:hAnsi="Times New Roman" w:cs="Times New Roman"/>
          <w:sz w:val="30"/>
          <w:szCs w:val="30"/>
        </w:rPr>
        <w:t>中增加不锈钢期货的风险控制参数。</w:t>
      </w:r>
    </w:p>
    <w:p w:rsidR="00002198" w:rsidRPr="005C38EA" w:rsidRDefault="00002198" w:rsidP="00017C1C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5C38EA">
        <w:rPr>
          <w:rFonts w:ascii="Times New Roman" w:eastAsia="方正仿宋简体" w:hAnsi="Times New Roman" w:cs="Times New Roman"/>
          <w:sz w:val="30"/>
          <w:szCs w:val="30"/>
        </w:rPr>
        <w:t>同时，</w:t>
      </w:r>
      <w:r w:rsidRPr="005C38EA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为进一步推进期货市场国际化、专业化水平</w:t>
      </w:r>
      <w:r w:rsidRPr="005C38EA">
        <w:rPr>
          <w:rFonts w:ascii="Times New Roman" w:eastAsia="方正仿宋简体" w:hAnsi="Times New Roman" w:cs="Times New Roman"/>
          <w:sz w:val="30"/>
          <w:szCs w:val="30"/>
        </w:rPr>
        <w:t>，将《交易细则》中关于成交量和持仓量的定义从双边计算修改为单边计算。</w:t>
      </w:r>
    </w:p>
    <w:sectPr w:rsidR="00002198" w:rsidRPr="005C38E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B10" w:rsidRDefault="00413B10" w:rsidP="009B7054">
      <w:r>
        <w:separator/>
      </w:r>
    </w:p>
  </w:endnote>
  <w:endnote w:type="continuationSeparator" w:id="0">
    <w:p w:rsidR="00413B10" w:rsidRDefault="00413B10" w:rsidP="009B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1139990"/>
      <w:docPartObj>
        <w:docPartGallery w:val="Page Numbers (Bottom of Page)"/>
        <w:docPartUnique/>
      </w:docPartObj>
    </w:sdtPr>
    <w:sdtEndPr/>
    <w:sdtContent>
      <w:p w:rsidR="009B0E70" w:rsidRDefault="009B0E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0E6" w:rsidRPr="009C20E6">
          <w:rPr>
            <w:noProof/>
            <w:lang w:val="zh-CN"/>
          </w:rPr>
          <w:t>1</w:t>
        </w:r>
        <w:r>
          <w:fldChar w:fldCharType="end"/>
        </w:r>
      </w:p>
    </w:sdtContent>
  </w:sdt>
  <w:p w:rsidR="009B0E70" w:rsidRDefault="009B0E7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B10" w:rsidRDefault="00413B10" w:rsidP="009B7054">
      <w:r>
        <w:separator/>
      </w:r>
    </w:p>
  </w:footnote>
  <w:footnote w:type="continuationSeparator" w:id="0">
    <w:p w:rsidR="00413B10" w:rsidRDefault="00413B10" w:rsidP="009B7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94"/>
    <w:rsid w:val="00002198"/>
    <w:rsid w:val="00007136"/>
    <w:rsid w:val="00017C1C"/>
    <w:rsid w:val="00040E87"/>
    <w:rsid w:val="00080438"/>
    <w:rsid w:val="000A4C7F"/>
    <w:rsid w:val="00121372"/>
    <w:rsid w:val="00134E2A"/>
    <w:rsid w:val="002D4427"/>
    <w:rsid w:val="00317F68"/>
    <w:rsid w:val="00327531"/>
    <w:rsid w:val="00413B10"/>
    <w:rsid w:val="00456E94"/>
    <w:rsid w:val="00480B15"/>
    <w:rsid w:val="004D67BD"/>
    <w:rsid w:val="004F5D1E"/>
    <w:rsid w:val="005C38EA"/>
    <w:rsid w:val="005E06B1"/>
    <w:rsid w:val="00622B29"/>
    <w:rsid w:val="00645E77"/>
    <w:rsid w:val="0072115E"/>
    <w:rsid w:val="00786022"/>
    <w:rsid w:val="00827B12"/>
    <w:rsid w:val="008658A7"/>
    <w:rsid w:val="008E0295"/>
    <w:rsid w:val="009B06EE"/>
    <w:rsid w:val="009B0E70"/>
    <w:rsid w:val="009B51B4"/>
    <w:rsid w:val="009B7054"/>
    <w:rsid w:val="009C0E8D"/>
    <w:rsid w:val="009C20E6"/>
    <w:rsid w:val="009E7E25"/>
    <w:rsid w:val="00AB344A"/>
    <w:rsid w:val="00AC4A71"/>
    <w:rsid w:val="00AD6CA7"/>
    <w:rsid w:val="00AF16FC"/>
    <w:rsid w:val="00B13210"/>
    <w:rsid w:val="00B412C6"/>
    <w:rsid w:val="00C144E6"/>
    <w:rsid w:val="00CD3180"/>
    <w:rsid w:val="00CE1F81"/>
    <w:rsid w:val="00CF68AE"/>
    <w:rsid w:val="00D15083"/>
    <w:rsid w:val="00D56217"/>
    <w:rsid w:val="00D65845"/>
    <w:rsid w:val="00DD62DC"/>
    <w:rsid w:val="00EA3740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7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70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70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7054"/>
    <w:rPr>
      <w:sz w:val="18"/>
      <w:szCs w:val="18"/>
    </w:rPr>
  </w:style>
  <w:style w:type="paragraph" w:styleId="a5">
    <w:name w:val="Normal (Web)"/>
    <w:basedOn w:val="a"/>
    <w:uiPriority w:val="99"/>
    <w:unhideWhenUsed/>
    <w:rsid w:val="002D44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317F6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17F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7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70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70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7054"/>
    <w:rPr>
      <w:sz w:val="18"/>
      <w:szCs w:val="18"/>
    </w:rPr>
  </w:style>
  <w:style w:type="paragraph" w:styleId="a5">
    <w:name w:val="Normal (Web)"/>
    <w:basedOn w:val="a"/>
    <w:uiPriority w:val="99"/>
    <w:unhideWhenUsed/>
    <w:rsid w:val="002D44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317F6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17F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2E7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</dc:creator>
  <cp:lastModifiedBy>djgw</cp:lastModifiedBy>
  <cp:revision>11</cp:revision>
  <cp:lastPrinted>2019-08-09T00:38:00Z</cp:lastPrinted>
  <dcterms:created xsi:type="dcterms:W3CDTF">2019-08-08T03:02:00Z</dcterms:created>
  <dcterms:modified xsi:type="dcterms:W3CDTF">2019-08-09T06:28:00Z</dcterms:modified>
</cp:coreProperties>
</file>