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EB" w:rsidRPr="00B91CAB" w:rsidRDefault="009A74EB" w:rsidP="009A74EB">
      <w:pPr>
        <w:widowControl/>
        <w:jc w:val="left"/>
        <w:rPr>
          <w:rFonts w:ascii="黑体" w:eastAsia="黑体" w:hAnsi="黑体" w:hint="eastAsia"/>
          <w:sz w:val="32"/>
          <w:szCs w:val="32"/>
        </w:rPr>
      </w:pPr>
      <w:r w:rsidRPr="00B91CAB">
        <w:rPr>
          <w:rFonts w:ascii="黑体" w:eastAsia="黑体" w:hAnsi="黑体" w:hint="eastAsia"/>
          <w:sz w:val="32"/>
          <w:szCs w:val="32"/>
        </w:rPr>
        <w:t>附件</w:t>
      </w:r>
      <w:r>
        <w:rPr>
          <w:rFonts w:ascii="黑体" w:eastAsia="黑体" w:hAnsi="黑体" w:hint="eastAsia"/>
          <w:sz w:val="32"/>
          <w:szCs w:val="32"/>
        </w:rPr>
        <w:t>8</w:t>
      </w:r>
    </w:p>
    <w:p w:rsidR="009A74EB" w:rsidRDefault="009A74EB" w:rsidP="009A74EB">
      <w:pPr>
        <w:jc w:val="center"/>
        <w:rPr>
          <w:rFonts w:ascii="宋体" w:hAnsi="宋体" w:hint="eastAsia"/>
          <w:sz w:val="44"/>
          <w:szCs w:val="44"/>
        </w:rPr>
      </w:pPr>
      <w:r w:rsidRPr="00792D6C">
        <w:rPr>
          <w:rFonts w:ascii="宋体" w:hAnsi="宋体" w:hint="eastAsia"/>
          <w:sz w:val="44"/>
          <w:szCs w:val="44"/>
        </w:rPr>
        <w:t>《郑州商品交易所保税交割实施细则》</w:t>
      </w:r>
    </w:p>
    <w:p w:rsidR="009A74EB" w:rsidRPr="00792D6C" w:rsidRDefault="009A74EB" w:rsidP="009A74EB">
      <w:pPr>
        <w:jc w:val="center"/>
        <w:rPr>
          <w:rFonts w:ascii="宋体" w:hAnsi="宋体"/>
          <w:sz w:val="44"/>
          <w:szCs w:val="44"/>
        </w:rPr>
      </w:pPr>
      <w:r w:rsidRPr="00792D6C">
        <w:rPr>
          <w:rFonts w:ascii="宋体" w:hAnsi="宋体" w:hint="eastAsia"/>
          <w:sz w:val="44"/>
          <w:szCs w:val="44"/>
        </w:rPr>
        <w:t>修订条款对照表</w:t>
      </w:r>
    </w:p>
    <w:p w:rsidR="009A74EB" w:rsidRPr="009B3D0A" w:rsidRDefault="009A74EB" w:rsidP="009A74EB">
      <w:pPr>
        <w:jc w:val="center"/>
        <w:rPr>
          <w:bCs/>
          <w:sz w:val="32"/>
        </w:rPr>
      </w:pPr>
      <w:r w:rsidRPr="009B3D0A">
        <w:rPr>
          <w:rFonts w:ascii="楷体" w:eastAsia="楷体" w:hAnsi="楷体" w:cs="Calibri" w:hint="eastAsia"/>
          <w:sz w:val="28"/>
          <w:szCs w:val="28"/>
        </w:rPr>
        <w:t>（删除线部分为删除，下划线加粗部分为修改增加）</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119"/>
        <w:gridCol w:w="2551"/>
      </w:tblGrid>
      <w:tr w:rsidR="009A74EB" w:rsidRPr="0003040B" w:rsidTr="00AC619B">
        <w:tc>
          <w:tcPr>
            <w:tcW w:w="3510" w:type="dxa"/>
          </w:tcPr>
          <w:p w:rsidR="009A74EB" w:rsidRPr="0003040B" w:rsidRDefault="009A74EB" w:rsidP="00AC619B">
            <w:pPr>
              <w:snapToGrid w:val="0"/>
              <w:spacing w:line="360" w:lineRule="auto"/>
              <w:jc w:val="center"/>
              <w:rPr>
                <w:rFonts w:ascii="仿宋" w:eastAsia="仿宋" w:hAnsi="仿宋"/>
                <w:b/>
              </w:rPr>
            </w:pPr>
            <w:r>
              <w:rPr>
                <w:rFonts w:ascii="仿宋" w:eastAsia="仿宋" w:hAnsi="仿宋" w:hint="eastAsia"/>
                <w:b/>
              </w:rPr>
              <w:t>修订前</w:t>
            </w:r>
          </w:p>
        </w:tc>
        <w:tc>
          <w:tcPr>
            <w:tcW w:w="3119" w:type="dxa"/>
          </w:tcPr>
          <w:p w:rsidR="009A74EB" w:rsidRPr="0003040B" w:rsidRDefault="009A74EB" w:rsidP="00AC619B">
            <w:pPr>
              <w:snapToGrid w:val="0"/>
              <w:spacing w:line="360" w:lineRule="auto"/>
              <w:jc w:val="center"/>
              <w:rPr>
                <w:rFonts w:ascii="仿宋" w:eastAsia="仿宋" w:hAnsi="仿宋"/>
                <w:b/>
              </w:rPr>
            </w:pPr>
            <w:r>
              <w:rPr>
                <w:rFonts w:ascii="仿宋" w:eastAsia="仿宋" w:hAnsi="仿宋" w:hint="eastAsia"/>
                <w:b/>
              </w:rPr>
              <w:t>修订后</w:t>
            </w:r>
          </w:p>
        </w:tc>
        <w:tc>
          <w:tcPr>
            <w:tcW w:w="2551" w:type="dxa"/>
          </w:tcPr>
          <w:p w:rsidR="009A74EB" w:rsidRPr="0003040B" w:rsidRDefault="009A74EB" w:rsidP="00AC619B">
            <w:pPr>
              <w:snapToGrid w:val="0"/>
              <w:spacing w:line="360" w:lineRule="auto"/>
              <w:jc w:val="center"/>
              <w:rPr>
                <w:rFonts w:ascii="仿宋" w:eastAsia="仿宋" w:hAnsi="仿宋"/>
                <w:b/>
              </w:rPr>
            </w:pPr>
            <w:r w:rsidRPr="0003040B">
              <w:rPr>
                <w:rFonts w:ascii="仿宋" w:eastAsia="仿宋" w:hAnsi="仿宋"/>
                <w:b/>
              </w:rPr>
              <w:t>备注</w:t>
            </w:r>
          </w:p>
        </w:tc>
      </w:tr>
      <w:tr w:rsidR="009A74EB" w:rsidRPr="0003040B" w:rsidTr="00AC619B">
        <w:tc>
          <w:tcPr>
            <w:tcW w:w="3510"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color w:val="333333"/>
                <w:szCs w:val="21"/>
                <w:shd w:val="clear" w:color="auto" w:fill="FFFFFF"/>
              </w:rPr>
              <w:t>第十条 保税标准仓单在有效期内可用于交割、</w:t>
            </w:r>
            <w:proofErr w:type="gramStart"/>
            <w:r w:rsidRPr="0003040B">
              <w:rPr>
                <w:rFonts w:ascii="仿宋" w:eastAsia="仿宋" w:hAnsi="仿宋"/>
                <w:color w:val="333333"/>
                <w:szCs w:val="21"/>
                <w:shd w:val="clear" w:color="auto" w:fill="FFFFFF"/>
              </w:rPr>
              <w:t>期转现</w:t>
            </w:r>
            <w:proofErr w:type="gramEnd"/>
            <w:r w:rsidRPr="0003040B">
              <w:rPr>
                <w:rFonts w:ascii="仿宋" w:eastAsia="仿宋" w:hAnsi="仿宋"/>
                <w:color w:val="333333"/>
                <w:szCs w:val="21"/>
                <w:shd w:val="clear" w:color="auto" w:fill="FFFFFF"/>
              </w:rPr>
              <w:t>、转让、充抵保证金等。保税标准仓单的有效期在对应期货品种含税标准仓单有效期的基础上顺延5个交易日。</w:t>
            </w:r>
          </w:p>
        </w:tc>
        <w:tc>
          <w:tcPr>
            <w:tcW w:w="3119"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color w:val="333333"/>
                <w:szCs w:val="21"/>
                <w:shd w:val="clear" w:color="auto" w:fill="FFFFFF"/>
              </w:rPr>
              <w:t>第十条 保税标准仓单在有效期内可用于交割、</w:t>
            </w:r>
            <w:proofErr w:type="gramStart"/>
            <w:r w:rsidRPr="0003040B">
              <w:rPr>
                <w:rFonts w:ascii="仿宋" w:eastAsia="仿宋" w:hAnsi="仿宋"/>
                <w:color w:val="333333"/>
                <w:szCs w:val="21"/>
                <w:shd w:val="clear" w:color="auto" w:fill="FFFFFF"/>
              </w:rPr>
              <w:t>期转现</w:t>
            </w:r>
            <w:proofErr w:type="gramEnd"/>
            <w:r w:rsidRPr="0003040B">
              <w:rPr>
                <w:rFonts w:ascii="仿宋" w:eastAsia="仿宋" w:hAnsi="仿宋"/>
                <w:color w:val="333333"/>
                <w:szCs w:val="21"/>
                <w:shd w:val="clear" w:color="auto" w:fill="FFFFFF"/>
              </w:rPr>
              <w:t>、转让、</w:t>
            </w:r>
            <w:r w:rsidRPr="0003040B">
              <w:rPr>
                <w:rFonts w:ascii="仿宋" w:eastAsia="仿宋" w:hAnsi="仿宋"/>
                <w:dstrike/>
                <w:color w:val="333333"/>
                <w:szCs w:val="21"/>
                <w:shd w:val="clear" w:color="auto" w:fill="FFFFFF"/>
              </w:rPr>
              <w:t>充抵</w:t>
            </w:r>
            <w:r w:rsidRPr="0003040B">
              <w:rPr>
                <w:rFonts w:ascii="仿宋" w:eastAsia="仿宋" w:hAnsi="仿宋"/>
                <w:b/>
                <w:color w:val="333333"/>
                <w:szCs w:val="21"/>
                <w:u w:val="words"/>
                <w:shd w:val="clear" w:color="auto" w:fill="FFFFFF"/>
              </w:rPr>
              <w:t>作为</w:t>
            </w:r>
            <w:r w:rsidRPr="0003040B">
              <w:rPr>
                <w:rFonts w:ascii="仿宋" w:eastAsia="仿宋" w:hAnsi="仿宋"/>
                <w:color w:val="333333"/>
                <w:szCs w:val="21"/>
                <w:shd w:val="clear" w:color="auto" w:fill="FFFFFF"/>
              </w:rPr>
              <w:t>保证金等</w:t>
            </w:r>
            <w:r w:rsidRPr="0003040B">
              <w:rPr>
                <w:rFonts w:ascii="仿宋" w:eastAsia="仿宋" w:hAnsi="仿宋"/>
                <w:b/>
                <w:color w:val="333333"/>
                <w:szCs w:val="21"/>
                <w:u w:val="single"/>
                <w:shd w:val="clear" w:color="auto" w:fill="FFFFFF"/>
              </w:rPr>
              <w:t>业务</w:t>
            </w:r>
            <w:r w:rsidRPr="0003040B">
              <w:rPr>
                <w:rFonts w:ascii="仿宋" w:eastAsia="仿宋" w:hAnsi="仿宋"/>
                <w:color w:val="333333"/>
                <w:szCs w:val="21"/>
                <w:shd w:val="clear" w:color="auto" w:fill="FFFFFF"/>
              </w:rPr>
              <w:t>。保税标准仓单的有效期在对应期货品种含税标准仓单有效期的基础上顺延5个交易日。</w:t>
            </w:r>
          </w:p>
        </w:tc>
        <w:tc>
          <w:tcPr>
            <w:tcW w:w="2551"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rPr>
              <w:t>规范</w:t>
            </w:r>
            <w:r w:rsidRPr="0003040B">
              <w:rPr>
                <w:rFonts w:ascii="仿宋" w:eastAsia="仿宋" w:hAnsi="仿宋" w:hint="eastAsia"/>
              </w:rPr>
              <w:t>“资产作为保证金”的表述。</w:t>
            </w:r>
          </w:p>
        </w:tc>
      </w:tr>
      <w:tr w:rsidR="009A74EB" w:rsidRPr="0003040B" w:rsidTr="00AC619B">
        <w:tc>
          <w:tcPr>
            <w:tcW w:w="3510" w:type="dxa"/>
          </w:tcPr>
          <w:p w:rsidR="009A74EB" w:rsidRPr="0003040B" w:rsidRDefault="009A74EB" w:rsidP="00AC619B">
            <w:pPr>
              <w:tabs>
                <w:tab w:val="left" w:pos="979"/>
              </w:tabs>
              <w:snapToGrid w:val="0"/>
              <w:spacing w:line="360" w:lineRule="auto"/>
              <w:ind w:firstLineChars="200" w:firstLine="420"/>
              <w:rPr>
                <w:rFonts w:ascii="仿宋" w:eastAsia="仿宋" w:hAnsi="仿宋"/>
              </w:rPr>
            </w:pPr>
            <w:r w:rsidRPr="0003040B">
              <w:rPr>
                <w:rFonts w:ascii="仿宋" w:eastAsia="仿宋" w:hAnsi="仿宋"/>
                <w:color w:val="333333"/>
                <w:szCs w:val="21"/>
                <w:shd w:val="clear" w:color="auto" w:fill="FFFFFF"/>
              </w:rPr>
              <w:t>第十一条 保税标准仓单可充抵保证金。交易所以保税标准仓单充抵保证金办理日前一交易日该保税标准仓单对应期货品种最近交割月期货合约结算价扣除进口增值税、进口消费税和进口关税后的数额为基准计算价值。具体流程按照《郑州商品交易所期货结算细则》办理。</w:t>
            </w:r>
          </w:p>
        </w:tc>
        <w:tc>
          <w:tcPr>
            <w:tcW w:w="3119"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color w:val="333333"/>
                <w:szCs w:val="21"/>
                <w:shd w:val="clear" w:color="auto" w:fill="FFFFFF"/>
              </w:rPr>
              <w:t>第十一条 保税标准仓单可</w:t>
            </w:r>
            <w:r w:rsidRPr="0003040B">
              <w:rPr>
                <w:rFonts w:ascii="仿宋" w:eastAsia="仿宋" w:hAnsi="仿宋"/>
                <w:dstrike/>
                <w:color w:val="333333"/>
                <w:szCs w:val="21"/>
                <w:shd w:val="clear" w:color="auto" w:fill="FFFFFF"/>
              </w:rPr>
              <w:t>充抵</w:t>
            </w:r>
            <w:r w:rsidRPr="0003040B">
              <w:rPr>
                <w:rFonts w:ascii="仿宋" w:eastAsia="仿宋" w:hAnsi="仿宋"/>
                <w:b/>
                <w:color w:val="333333"/>
                <w:szCs w:val="21"/>
                <w:u w:val="words"/>
                <w:shd w:val="clear" w:color="auto" w:fill="FFFFFF"/>
              </w:rPr>
              <w:t>作为</w:t>
            </w:r>
            <w:r w:rsidRPr="0003040B">
              <w:rPr>
                <w:rFonts w:ascii="仿宋" w:eastAsia="仿宋" w:hAnsi="仿宋"/>
                <w:color w:val="333333"/>
                <w:szCs w:val="21"/>
                <w:shd w:val="clear" w:color="auto" w:fill="FFFFFF"/>
              </w:rPr>
              <w:t>保证金。交易所以保税标准仓单</w:t>
            </w:r>
            <w:r w:rsidRPr="0003040B">
              <w:rPr>
                <w:rFonts w:ascii="仿宋" w:eastAsia="仿宋" w:hAnsi="仿宋"/>
                <w:dstrike/>
                <w:color w:val="333333"/>
                <w:szCs w:val="21"/>
                <w:shd w:val="clear" w:color="auto" w:fill="FFFFFF"/>
              </w:rPr>
              <w:t>充抵</w:t>
            </w:r>
            <w:r w:rsidRPr="0003040B">
              <w:rPr>
                <w:rFonts w:ascii="仿宋" w:eastAsia="仿宋" w:hAnsi="仿宋"/>
                <w:b/>
                <w:color w:val="333333"/>
                <w:szCs w:val="21"/>
                <w:u w:val="single"/>
                <w:shd w:val="clear" w:color="auto" w:fill="FFFFFF"/>
              </w:rPr>
              <w:t>作为</w:t>
            </w:r>
            <w:r w:rsidRPr="0003040B">
              <w:rPr>
                <w:rFonts w:ascii="仿宋" w:eastAsia="仿宋" w:hAnsi="仿宋"/>
                <w:color w:val="333333"/>
                <w:szCs w:val="21"/>
                <w:shd w:val="clear" w:color="auto" w:fill="FFFFFF"/>
              </w:rPr>
              <w:t>保证金办理日前一交易日该保税标准仓单对应期货品种最近交割月期货合约结算价扣除进口增值税、进口消费税和进口关税后的数额为基准计算价值。具体流程按照《郑州商品交易所期货结算细则》办理。</w:t>
            </w:r>
          </w:p>
        </w:tc>
        <w:tc>
          <w:tcPr>
            <w:tcW w:w="2551"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rPr>
              <w:t>规范</w:t>
            </w:r>
            <w:r w:rsidRPr="0003040B">
              <w:rPr>
                <w:rFonts w:ascii="仿宋" w:eastAsia="仿宋" w:hAnsi="仿宋" w:hint="eastAsia"/>
              </w:rPr>
              <w:t>“资产作为保证金”的表述。</w:t>
            </w:r>
          </w:p>
        </w:tc>
      </w:tr>
      <w:tr w:rsidR="009A74EB" w:rsidRPr="0003040B" w:rsidTr="00AC619B">
        <w:tc>
          <w:tcPr>
            <w:tcW w:w="3510"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color w:val="333333"/>
                <w:szCs w:val="21"/>
                <w:shd w:val="clear" w:color="auto" w:fill="FFFFFF"/>
              </w:rPr>
              <w:t>第二十九条 PTA保税标准仓单可用于交割、</w:t>
            </w:r>
            <w:proofErr w:type="gramStart"/>
            <w:r w:rsidRPr="0003040B">
              <w:rPr>
                <w:rFonts w:ascii="仿宋" w:eastAsia="仿宋" w:hAnsi="仿宋"/>
                <w:color w:val="333333"/>
                <w:szCs w:val="21"/>
                <w:shd w:val="clear" w:color="auto" w:fill="FFFFFF"/>
              </w:rPr>
              <w:t>期转现</w:t>
            </w:r>
            <w:proofErr w:type="gramEnd"/>
            <w:r w:rsidRPr="0003040B">
              <w:rPr>
                <w:rFonts w:ascii="仿宋" w:eastAsia="仿宋" w:hAnsi="仿宋"/>
                <w:color w:val="333333"/>
                <w:szCs w:val="21"/>
                <w:shd w:val="clear" w:color="auto" w:fill="FFFFFF"/>
              </w:rPr>
              <w:t>、充抵保证金、转让及交易所认可的其他用途。</w:t>
            </w:r>
          </w:p>
        </w:tc>
        <w:tc>
          <w:tcPr>
            <w:tcW w:w="3119"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color w:val="333333"/>
                <w:szCs w:val="21"/>
                <w:shd w:val="clear" w:color="auto" w:fill="FFFFFF"/>
              </w:rPr>
              <w:t>第二十九条 PTA保税标准仓单可用于交割、</w:t>
            </w:r>
            <w:proofErr w:type="gramStart"/>
            <w:r w:rsidRPr="0003040B">
              <w:rPr>
                <w:rFonts w:ascii="仿宋" w:eastAsia="仿宋" w:hAnsi="仿宋"/>
                <w:color w:val="333333"/>
                <w:szCs w:val="21"/>
                <w:shd w:val="clear" w:color="auto" w:fill="FFFFFF"/>
              </w:rPr>
              <w:t>期转现</w:t>
            </w:r>
            <w:proofErr w:type="gramEnd"/>
            <w:r w:rsidRPr="0003040B">
              <w:rPr>
                <w:rFonts w:ascii="仿宋" w:eastAsia="仿宋" w:hAnsi="仿宋"/>
                <w:color w:val="333333"/>
                <w:szCs w:val="21"/>
                <w:shd w:val="clear" w:color="auto" w:fill="FFFFFF"/>
              </w:rPr>
              <w:t>、</w:t>
            </w:r>
            <w:r w:rsidRPr="0003040B">
              <w:rPr>
                <w:rFonts w:ascii="仿宋" w:eastAsia="仿宋" w:hAnsi="仿宋"/>
                <w:dstrike/>
                <w:color w:val="333333"/>
                <w:szCs w:val="21"/>
                <w:shd w:val="clear" w:color="auto" w:fill="FFFFFF"/>
              </w:rPr>
              <w:t>充抵</w:t>
            </w:r>
            <w:r w:rsidRPr="0003040B">
              <w:rPr>
                <w:rFonts w:ascii="仿宋" w:eastAsia="仿宋" w:hAnsi="仿宋"/>
                <w:b/>
                <w:color w:val="333333"/>
                <w:szCs w:val="21"/>
                <w:u w:val="single"/>
                <w:shd w:val="clear" w:color="auto" w:fill="FFFFFF"/>
              </w:rPr>
              <w:t>作为</w:t>
            </w:r>
            <w:r w:rsidRPr="0003040B">
              <w:rPr>
                <w:rFonts w:ascii="仿宋" w:eastAsia="仿宋" w:hAnsi="仿宋"/>
                <w:color w:val="333333"/>
                <w:szCs w:val="21"/>
                <w:shd w:val="clear" w:color="auto" w:fill="FFFFFF"/>
              </w:rPr>
              <w:t>保证金、转让及交易所认可的其他用途。</w:t>
            </w:r>
          </w:p>
        </w:tc>
        <w:tc>
          <w:tcPr>
            <w:tcW w:w="2551"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rPr>
              <w:t>规范</w:t>
            </w:r>
            <w:r w:rsidRPr="0003040B">
              <w:rPr>
                <w:rFonts w:ascii="仿宋" w:eastAsia="仿宋" w:hAnsi="仿宋" w:hint="eastAsia"/>
              </w:rPr>
              <w:t>“资产作为保证金”的表述。</w:t>
            </w:r>
          </w:p>
        </w:tc>
      </w:tr>
      <w:tr w:rsidR="009A74EB" w:rsidRPr="0003040B" w:rsidTr="00AC619B">
        <w:tc>
          <w:tcPr>
            <w:tcW w:w="3510" w:type="dxa"/>
          </w:tcPr>
          <w:p w:rsidR="009A74EB" w:rsidRPr="0003040B" w:rsidRDefault="009A74EB"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03040B">
              <w:rPr>
                <w:rFonts w:ascii="仿宋" w:eastAsia="仿宋" w:hAnsi="仿宋"/>
                <w:color w:val="333333"/>
                <w:sz w:val="21"/>
                <w:szCs w:val="21"/>
              </w:rPr>
              <w:t>第三十二条 保税标准仓单可充抵保证金。保税标准仓单充抵保证金的，交易所以办理日前一交易日最近交割月期货合约结算价扣除相关税费后的数额作为基准计算价值。具体流程按照《郑州商品交易所期货结算</w:t>
            </w:r>
            <w:r w:rsidRPr="0003040B">
              <w:rPr>
                <w:rFonts w:ascii="仿宋" w:eastAsia="仿宋" w:hAnsi="仿宋"/>
                <w:color w:val="333333"/>
                <w:sz w:val="21"/>
                <w:szCs w:val="21"/>
              </w:rPr>
              <w:lastRenderedPageBreak/>
              <w:t>细则》办理。</w:t>
            </w:r>
          </w:p>
          <w:p w:rsidR="009A74EB" w:rsidRPr="0003040B" w:rsidRDefault="009A74EB"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03040B">
              <w:rPr>
                <w:rFonts w:ascii="仿宋" w:eastAsia="仿宋" w:hAnsi="仿宋"/>
                <w:color w:val="333333"/>
                <w:sz w:val="21"/>
                <w:szCs w:val="21"/>
              </w:rPr>
              <w:t>保税仓单充抵保证金的基准价格=[(申请日前一日最近交割月份合约结算价-相关费用)/(1+进口增值税税率)-消费税]/(1+进口关税税率)。本条所称相关费用包括商品进口报关、报检及代理服务费用等，具体由交易所另行发布。消费税从量计征，关税从价计征。</w:t>
            </w:r>
          </w:p>
        </w:tc>
        <w:tc>
          <w:tcPr>
            <w:tcW w:w="3119" w:type="dxa"/>
          </w:tcPr>
          <w:p w:rsidR="009A74EB" w:rsidRPr="0003040B" w:rsidRDefault="009A74EB"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03040B">
              <w:rPr>
                <w:rFonts w:ascii="仿宋" w:eastAsia="仿宋" w:hAnsi="仿宋"/>
                <w:color w:val="333333"/>
                <w:sz w:val="21"/>
                <w:szCs w:val="21"/>
              </w:rPr>
              <w:lastRenderedPageBreak/>
              <w:t>第三十二条 保税标准仓单可</w:t>
            </w:r>
            <w:r w:rsidRPr="0003040B">
              <w:rPr>
                <w:rFonts w:ascii="仿宋" w:eastAsia="仿宋" w:hAnsi="仿宋"/>
                <w:dstrike/>
                <w:color w:val="333333"/>
                <w:sz w:val="21"/>
                <w:szCs w:val="21"/>
              </w:rPr>
              <w:t>充抵</w:t>
            </w:r>
            <w:r w:rsidRPr="0003040B">
              <w:rPr>
                <w:rFonts w:ascii="仿宋" w:eastAsia="仿宋" w:hAnsi="仿宋"/>
                <w:b/>
                <w:color w:val="333333"/>
                <w:sz w:val="21"/>
                <w:szCs w:val="21"/>
                <w:u w:val="single"/>
              </w:rPr>
              <w:t>作为</w:t>
            </w:r>
            <w:r w:rsidRPr="0003040B">
              <w:rPr>
                <w:rFonts w:ascii="仿宋" w:eastAsia="仿宋" w:hAnsi="仿宋"/>
                <w:color w:val="333333"/>
                <w:sz w:val="21"/>
                <w:szCs w:val="21"/>
              </w:rPr>
              <w:t>保证金。保税标准仓单</w:t>
            </w:r>
            <w:r w:rsidRPr="0003040B">
              <w:rPr>
                <w:rFonts w:ascii="仿宋" w:eastAsia="仿宋" w:hAnsi="仿宋"/>
                <w:dstrike/>
                <w:color w:val="333333"/>
                <w:sz w:val="21"/>
                <w:szCs w:val="21"/>
              </w:rPr>
              <w:t>充抵</w:t>
            </w:r>
            <w:r w:rsidRPr="0003040B">
              <w:rPr>
                <w:rFonts w:ascii="仿宋" w:eastAsia="仿宋" w:hAnsi="仿宋"/>
                <w:b/>
                <w:color w:val="333333"/>
                <w:sz w:val="21"/>
                <w:szCs w:val="21"/>
                <w:u w:val="single"/>
              </w:rPr>
              <w:t>作为</w:t>
            </w:r>
            <w:r w:rsidRPr="0003040B">
              <w:rPr>
                <w:rFonts w:ascii="仿宋" w:eastAsia="仿宋" w:hAnsi="仿宋"/>
                <w:color w:val="333333"/>
                <w:sz w:val="21"/>
                <w:szCs w:val="21"/>
              </w:rPr>
              <w:t>保证金的，交易所以办理日前一交易日最近交割月期货合约结算价扣除相关税费后的数额作为基准计算价值。具</w:t>
            </w:r>
            <w:r w:rsidRPr="0003040B">
              <w:rPr>
                <w:rFonts w:ascii="仿宋" w:eastAsia="仿宋" w:hAnsi="仿宋"/>
                <w:color w:val="333333"/>
                <w:sz w:val="21"/>
                <w:szCs w:val="21"/>
              </w:rPr>
              <w:lastRenderedPageBreak/>
              <w:t>体流程按照《郑州商品交易所期货结算细则》办理。</w:t>
            </w:r>
          </w:p>
          <w:p w:rsidR="009A74EB" w:rsidRPr="0003040B" w:rsidRDefault="009A74EB"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03040B">
              <w:rPr>
                <w:rFonts w:ascii="仿宋" w:eastAsia="仿宋" w:hAnsi="仿宋"/>
                <w:color w:val="333333"/>
                <w:sz w:val="21"/>
                <w:szCs w:val="21"/>
              </w:rPr>
              <w:t>保税仓单</w:t>
            </w:r>
            <w:r w:rsidRPr="0003040B">
              <w:rPr>
                <w:rFonts w:ascii="仿宋" w:eastAsia="仿宋" w:hAnsi="仿宋"/>
                <w:dstrike/>
                <w:color w:val="333333"/>
                <w:sz w:val="21"/>
                <w:szCs w:val="21"/>
              </w:rPr>
              <w:t>充抵</w:t>
            </w:r>
            <w:r w:rsidRPr="0003040B">
              <w:rPr>
                <w:rFonts w:ascii="仿宋" w:eastAsia="仿宋" w:hAnsi="仿宋"/>
                <w:b/>
                <w:color w:val="333333"/>
                <w:sz w:val="21"/>
                <w:szCs w:val="21"/>
                <w:u w:val="single"/>
              </w:rPr>
              <w:t>作为</w:t>
            </w:r>
            <w:r w:rsidRPr="0003040B">
              <w:rPr>
                <w:rFonts w:ascii="仿宋" w:eastAsia="仿宋" w:hAnsi="仿宋"/>
                <w:color w:val="333333"/>
                <w:sz w:val="21"/>
                <w:szCs w:val="21"/>
              </w:rPr>
              <w:t>保证金的基准价格=[(申请日前一日最近交割月份合约结算价-相关费用)/(1+进口增值税税率)-消费税]/(1+进口关税税率)。本条所称相关费用包括商品进口报关、报检及代理服务费用等，具体由交易所另行发布。消费税从量计征，关税从价计征。</w:t>
            </w:r>
          </w:p>
        </w:tc>
        <w:tc>
          <w:tcPr>
            <w:tcW w:w="2551" w:type="dxa"/>
          </w:tcPr>
          <w:p w:rsidR="009A74EB" w:rsidRPr="0003040B" w:rsidRDefault="009A74EB" w:rsidP="00AC619B">
            <w:pPr>
              <w:snapToGrid w:val="0"/>
              <w:spacing w:line="360" w:lineRule="auto"/>
              <w:ind w:firstLineChars="200" w:firstLine="420"/>
              <w:rPr>
                <w:rFonts w:ascii="仿宋" w:eastAsia="仿宋" w:hAnsi="仿宋"/>
              </w:rPr>
            </w:pPr>
            <w:r w:rsidRPr="0003040B">
              <w:rPr>
                <w:rFonts w:ascii="仿宋" w:eastAsia="仿宋" w:hAnsi="仿宋"/>
              </w:rPr>
              <w:lastRenderedPageBreak/>
              <w:t>规范</w:t>
            </w:r>
            <w:r w:rsidRPr="0003040B">
              <w:rPr>
                <w:rFonts w:ascii="仿宋" w:eastAsia="仿宋" w:hAnsi="仿宋" w:hint="eastAsia"/>
              </w:rPr>
              <w:t>“资产作为保证金”的表述。</w:t>
            </w:r>
          </w:p>
        </w:tc>
      </w:tr>
    </w:tbl>
    <w:p w:rsidR="00D71A04" w:rsidRDefault="00D71A04" w:rsidP="009A74EB"/>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4EB"/>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4EB"/>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E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A74E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Company>Lenovo</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2020-09-07T08:41:00Z</dcterms:created>
  <dcterms:modified xsi:type="dcterms:W3CDTF">2020-09-07T08:41:00Z</dcterms:modified>
</cp:coreProperties>
</file>