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77" w:rsidRPr="00A70443" w:rsidRDefault="00102877" w:rsidP="00102877">
      <w:pPr>
        <w:rPr>
          <w:rFonts w:ascii="黑体" w:eastAsia="黑体" w:hAnsi="黑体"/>
          <w:sz w:val="32"/>
          <w:szCs w:val="32"/>
        </w:rPr>
      </w:pPr>
      <w:r w:rsidRPr="00A70443">
        <w:rPr>
          <w:rFonts w:ascii="黑体" w:eastAsia="黑体" w:hAnsi="黑体" w:hint="eastAsia"/>
          <w:sz w:val="32"/>
          <w:szCs w:val="32"/>
        </w:rPr>
        <w:t>附件</w:t>
      </w:r>
      <w:r>
        <w:rPr>
          <w:rFonts w:ascii="黑体" w:eastAsia="黑体" w:hAnsi="黑体" w:hint="eastAsia"/>
          <w:sz w:val="32"/>
          <w:szCs w:val="32"/>
        </w:rPr>
        <w:t>1</w:t>
      </w:r>
    </w:p>
    <w:p w:rsidR="00102877" w:rsidRDefault="00102877" w:rsidP="00102877">
      <w:pPr>
        <w:spacing w:beforeLines="50"/>
        <w:jc w:val="center"/>
        <w:rPr>
          <w:b/>
          <w:sz w:val="44"/>
          <w:szCs w:val="44"/>
        </w:rPr>
      </w:pPr>
      <w:r w:rsidRPr="00E51C3E">
        <w:rPr>
          <w:rFonts w:hint="eastAsia"/>
          <w:b/>
          <w:sz w:val="44"/>
          <w:szCs w:val="44"/>
        </w:rPr>
        <w:t>郑州商品交易所期权交易管理办法</w:t>
      </w:r>
      <w:r>
        <w:rPr>
          <w:rFonts w:hint="eastAsia"/>
          <w:b/>
          <w:sz w:val="44"/>
          <w:szCs w:val="44"/>
        </w:rPr>
        <w:t>修订案</w:t>
      </w:r>
    </w:p>
    <w:p w:rsidR="00102877" w:rsidRPr="004A40E0" w:rsidRDefault="00102877" w:rsidP="00102877">
      <w:pPr>
        <w:widowControl/>
        <w:spacing w:before="240" w:line="360" w:lineRule="auto"/>
        <w:jc w:val="center"/>
        <w:rPr>
          <w:rFonts w:ascii="仿宋" w:eastAsia="仿宋" w:hAnsi="仿宋" w:hint="eastAsia"/>
          <w:sz w:val="30"/>
          <w:szCs w:val="30"/>
        </w:rPr>
      </w:pPr>
      <w:r w:rsidRPr="004A40E0">
        <w:rPr>
          <w:rFonts w:ascii="楷体" w:eastAsia="楷体" w:hAnsi="楷体" w:cs="仿宋" w:hint="eastAsia"/>
          <w:bCs/>
          <w:sz w:val="30"/>
          <w:szCs w:val="30"/>
        </w:rPr>
        <w:t>（2020年8月27日郑州商品交易所第七届理事会第五次会议审议通过）</w:t>
      </w:r>
    </w:p>
    <w:p w:rsidR="00102877" w:rsidRPr="00CA529C" w:rsidRDefault="00102877" w:rsidP="00102877">
      <w:pPr>
        <w:widowControl/>
        <w:ind w:firstLineChars="200" w:firstLine="640"/>
        <w:rPr>
          <w:rFonts w:ascii="仿宋" w:eastAsia="仿宋" w:hAnsi="仿宋" w:cs="宋体"/>
          <w:kern w:val="0"/>
          <w:sz w:val="32"/>
          <w:szCs w:val="32"/>
        </w:rPr>
      </w:pPr>
      <w:r>
        <w:rPr>
          <w:rFonts w:ascii="仿宋" w:eastAsia="仿宋" w:hAnsi="仿宋" w:hint="eastAsia"/>
          <w:sz w:val="32"/>
          <w:szCs w:val="32"/>
        </w:rPr>
        <w:t>对《郑州商品交易所期权交易管理办法》作如下修改</w:t>
      </w:r>
      <w:r w:rsidRPr="003C35C3">
        <w:rPr>
          <w:rFonts w:ascii="仿宋" w:eastAsia="仿宋" w:hAnsi="仿宋" w:hint="eastAsia"/>
          <w:sz w:val="32"/>
          <w:szCs w:val="32"/>
        </w:rPr>
        <w:t>：</w:t>
      </w:r>
    </w:p>
    <w:p w:rsidR="00102877" w:rsidRPr="006117C7" w:rsidRDefault="00102877" w:rsidP="00102877">
      <w:pPr>
        <w:ind w:firstLineChars="200" w:firstLine="640"/>
        <w:rPr>
          <w:rFonts w:ascii="仿宋" w:eastAsia="仿宋" w:hAnsi="仿宋"/>
          <w:sz w:val="32"/>
        </w:rPr>
      </w:pPr>
      <w:r w:rsidRPr="006117C7">
        <w:rPr>
          <w:rFonts w:ascii="仿宋" w:eastAsia="仿宋" w:hAnsi="仿宋" w:cs="宋体" w:hint="eastAsia"/>
          <w:color w:val="000000"/>
          <w:kern w:val="0"/>
          <w:sz w:val="32"/>
          <w:szCs w:val="32"/>
        </w:rPr>
        <w:t>一、</w:t>
      </w:r>
      <w:r>
        <w:rPr>
          <w:rFonts w:ascii="仿宋" w:eastAsia="仿宋" w:hAnsi="仿宋" w:cs="宋体" w:hint="eastAsia"/>
          <w:color w:val="000000"/>
          <w:kern w:val="0"/>
          <w:sz w:val="32"/>
          <w:szCs w:val="32"/>
        </w:rPr>
        <w:t>在</w:t>
      </w:r>
      <w:r>
        <w:rPr>
          <w:rFonts w:ascii="仿宋" w:eastAsia="仿宋" w:hAnsi="仿宋" w:hint="eastAsia"/>
          <w:bCs/>
          <w:sz w:val="32"/>
          <w:szCs w:val="32"/>
        </w:rPr>
        <w:t>第三章第二十八条后新增一条</w:t>
      </w:r>
      <w:r>
        <w:rPr>
          <w:rFonts w:ascii="仿宋" w:eastAsia="仿宋" w:hAnsi="仿宋" w:cs="宋体" w:hint="eastAsia"/>
          <w:color w:val="000000"/>
          <w:kern w:val="0"/>
          <w:sz w:val="32"/>
          <w:szCs w:val="32"/>
        </w:rPr>
        <w:t>：</w:t>
      </w:r>
      <w:r w:rsidRPr="006117C7">
        <w:rPr>
          <w:rFonts w:ascii="仿宋" w:eastAsia="仿宋" w:hAnsi="仿宋" w:cs="宋体" w:hint="eastAsia"/>
          <w:color w:val="000000"/>
          <w:kern w:val="0"/>
          <w:sz w:val="32"/>
          <w:szCs w:val="32"/>
        </w:rPr>
        <w:t>“</w:t>
      </w:r>
      <w:r w:rsidRPr="006117C7">
        <w:rPr>
          <w:rFonts w:ascii="仿宋" w:eastAsia="仿宋" w:hAnsi="仿宋" w:hint="eastAsia"/>
          <w:sz w:val="32"/>
        </w:rPr>
        <w:t>非期货公司会员和客户可以申请对其同一交易编码下的双向期权投机持仓进行对冲平仓。对冲结果从当日期权持仓量中扣除，并计入成交量。申请时间和具体方式由交易所另行公布。</w:t>
      </w:r>
      <w:r w:rsidRPr="006117C7">
        <w:rPr>
          <w:rFonts w:ascii="仿宋" w:eastAsia="仿宋" w:hAnsi="仿宋" w:cs="宋体" w:hint="eastAsia"/>
          <w:color w:val="000000"/>
          <w:kern w:val="0"/>
          <w:sz w:val="32"/>
          <w:szCs w:val="32"/>
        </w:rPr>
        <w:t>”</w:t>
      </w:r>
    </w:p>
    <w:p w:rsidR="00102877" w:rsidRPr="00873106" w:rsidRDefault="00102877" w:rsidP="00102877">
      <w:pPr>
        <w:ind w:firstLineChars="200" w:firstLine="640"/>
        <w:rPr>
          <w:rFonts w:ascii="仿宋" w:eastAsia="仿宋" w:hAnsi="仿宋"/>
          <w:sz w:val="32"/>
        </w:rPr>
      </w:pPr>
      <w:r w:rsidRPr="006117C7">
        <w:rPr>
          <w:rFonts w:ascii="仿宋" w:eastAsia="仿宋" w:hAnsi="仿宋" w:hint="eastAsia"/>
          <w:sz w:val="32"/>
        </w:rPr>
        <w:t>二、</w:t>
      </w:r>
      <w:r>
        <w:rPr>
          <w:rFonts w:ascii="仿宋" w:eastAsia="仿宋" w:hAnsi="仿宋" w:hint="eastAsia"/>
          <w:sz w:val="32"/>
        </w:rPr>
        <w:t>在</w:t>
      </w:r>
      <w:r>
        <w:rPr>
          <w:rFonts w:ascii="仿宋" w:eastAsia="仿宋" w:hAnsi="仿宋" w:hint="eastAsia"/>
          <w:bCs/>
          <w:sz w:val="32"/>
          <w:szCs w:val="32"/>
        </w:rPr>
        <w:t>第四章第三十条后新增一条：</w:t>
      </w:r>
      <w:r w:rsidRPr="006117C7">
        <w:rPr>
          <w:rFonts w:ascii="仿宋" w:eastAsia="仿宋" w:hAnsi="仿宋" w:cs="宋体" w:hint="eastAsia"/>
          <w:color w:val="000000"/>
          <w:kern w:val="0"/>
          <w:sz w:val="32"/>
          <w:szCs w:val="32"/>
        </w:rPr>
        <w:t>“</w:t>
      </w:r>
      <w:r w:rsidRPr="006117C7">
        <w:rPr>
          <w:rFonts w:ascii="仿宋" w:eastAsia="仿宋" w:hAnsi="仿宋" w:hint="eastAsia"/>
          <w:sz w:val="32"/>
        </w:rPr>
        <w:t>非</w:t>
      </w:r>
      <w:r w:rsidRPr="00873106">
        <w:rPr>
          <w:rFonts w:ascii="仿宋" w:eastAsia="仿宋" w:hAnsi="仿宋" w:hint="eastAsia"/>
          <w:sz w:val="32"/>
        </w:rPr>
        <w:t>期货公司会员和客户可以申请对其同一交易编码下行权及履约后的双向期货投机持仓进行对冲平仓，对冲数量不超过行权及履约获得的期货</w:t>
      </w:r>
      <w:r>
        <w:rPr>
          <w:rFonts w:ascii="仿宋" w:eastAsia="仿宋" w:hAnsi="仿宋" w:hint="eastAsia"/>
          <w:sz w:val="32"/>
        </w:rPr>
        <w:t>买</w:t>
      </w:r>
      <w:r w:rsidRPr="00873106">
        <w:rPr>
          <w:rFonts w:ascii="仿宋" w:eastAsia="仿宋" w:hAnsi="仿宋" w:hint="eastAsia"/>
          <w:sz w:val="32"/>
        </w:rPr>
        <w:t>投机持</w:t>
      </w:r>
      <w:r w:rsidRPr="00F92EAD">
        <w:rPr>
          <w:rFonts w:ascii="仿宋" w:eastAsia="仿宋" w:hAnsi="仿宋" w:hint="eastAsia"/>
          <w:sz w:val="32"/>
        </w:rPr>
        <w:t>仓量</w:t>
      </w:r>
      <w:r>
        <w:rPr>
          <w:rFonts w:ascii="仿宋" w:eastAsia="仿宋" w:hAnsi="仿宋" w:hint="eastAsia"/>
          <w:sz w:val="32"/>
        </w:rPr>
        <w:t>与卖投机持仓量中较大者</w:t>
      </w:r>
      <w:r w:rsidRPr="00F92EAD">
        <w:rPr>
          <w:rFonts w:ascii="仿宋" w:eastAsia="仿宋" w:hAnsi="仿宋" w:hint="eastAsia"/>
          <w:sz w:val="32"/>
        </w:rPr>
        <w:t>。对冲结果从当日期货持仓量中扣除，并计入成交量。申请时间和具体方式由交易所另行公布。</w:t>
      </w:r>
      <w:r>
        <w:rPr>
          <w:rFonts w:ascii="仿宋" w:eastAsia="仿宋" w:hAnsi="仿宋" w:hint="eastAsia"/>
          <w:sz w:val="32"/>
        </w:rPr>
        <w:t>”</w:t>
      </w:r>
    </w:p>
    <w:p w:rsidR="00102877" w:rsidRDefault="00102877" w:rsidP="00102877">
      <w:pPr>
        <w:ind w:firstLineChars="200" w:firstLine="640"/>
        <w:rPr>
          <w:rFonts w:ascii="仿宋" w:eastAsia="仿宋" w:hAnsi="仿宋"/>
          <w:sz w:val="32"/>
          <w:szCs w:val="32"/>
        </w:rPr>
      </w:pPr>
      <w:r>
        <w:rPr>
          <w:rFonts w:ascii="仿宋" w:eastAsia="仿宋" w:hAnsi="仿宋" w:hint="eastAsia"/>
          <w:sz w:val="32"/>
        </w:rPr>
        <w:t>其他条款内容不变，序号作相应调整。</w:t>
      </w:r>
    </w:p>
    <w:p w:rsidR="00102877" w:rsidRPr="00603D58" w:rsidRDefault="00102877" w:rsidP="00102877">
      <w:pPr>
        <w:ind w:firstLineChars="200" w:firstLine="616"/>
        <w:rPr>
          <w:rFonts w:ascii="仿宋" w:eastAsia="仿宋" w:hAnsi="仿宋" w:hint="eastAsia"/>
          <w:spacing w:val="-6"/>
          <w:sz w:val="32"/>
        </w:rPr>
      </w:pPr>
    </w:p>
    <w:p w:rsidR="00D71A04" w:rsidRPr="00102877" w:rsidRDefault="00D71A04"/>
    <w:sectPr w:rsidR="00D71A04" w:rsidRPr="00102877"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877"/>
    <w:rsid w:val="00000274"/>
    <w:rsid w:val="000009D9"/>
    <w:rsid w:val="000011FD"/>
    <w:rsid w:val="000026AE"/>
    <w:rsid w:val="00002C67"/>
    <w:rsid w:val="0000355C"/>
    <w:rsid w:val="0000394C"/>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2877"/>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7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Lenovo</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2020-09-28T01:40:00Z</dcterms:created>
  <dcterms:modified xsi:type="dcterms:W3CDTF">2020-09-28T01:40:00Z</dcterms:modified>
</cp:coreProperties>
</file>