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D2" w:rsidRDefault="00101ED2" w:rsidP="00101ED2">
      <w:pPr>
        <w:rPr>
          <w:rFonts w:ascii="黑体" w:eastAsia="黑体" w:hAnsi="黑体" w:hint="eastAsia"/>
          <w:sz w:val="32"/>
          <w:szCs w:val="32"/>
        </w:rPr>
      </w:pPr>
      <w:r>
        <w:rPr>
          <w:rFonts w:ascii="黑体" w:eastAsia="黑体" w:hAnsi="黑体" w:hint="eastAsia"/>
          <w:sz w:val="32"/>
          <w:szCs w:val="32"/>
        </w:rPr>
        <w:t>附件2</w:t>
      </w:r>
    </w:p>
    <w:p w:rsidR="00101ED2" w:rsidRPr="004F68E4" w:rsidRDefault="00101ED2" w:rsidP="00101ED2">
      <w:pPr>
        <w:snapToGrid w:val="0"/>
        <w:jc w:val="center"/>
        <w:rPr>
          <w:rFonts w:ascii="方正小标宋简体" w:eastAsia="方正小标宋简体" w:hAnsi="宋体" w:hint="eastAsia"/>
          <w:sz w:val="44"/>
          <w:szCs w:val="44"/>
        </w:rPr>
      </w:pPr>
      <w:r w:rsidRPr="004F68E4">
        <w:rPr>
          <w:rFonts w:ascii="方正小标宋简体" w:eastAsia="方正小标宋简体" w:hAnsi="宋体" w:hint="eastAsia"/>
          <w:sz w:val="44"/>
          <w:szCs w:val="44"/>
        </w:rPr>
        <w:t>《郑州商品交易所指定商品交割仓库管理办法》修订条款对照表</w:t>
      </w:r>
    </w:p>
    <w:p w:rsidR="00101ED2" w:rsidRDefault="00101ED2" w:rsidP="00101ED2">
      <w:pPr>
        <w:widowControl/>
        <w:spacing w:line="360" w:lineRule="auto"/>
        <w:jc w:val="center"/>
        <w:outlineLvl w:val="3"/>
        <w:rPr>
          <w:rFonts w:ascii="楷体" w:eastAsia="楷体" w:hAnsi="楷体" w:hint="eastAsia"/>
          <w:sz w:val="28"/>
          <w:szCs w:val="28"/>
        </w:rPr>
      </w:pPr>
      <w:r>
        <w:rPr>
          <w:rFonts w:ascii="楷体" w:eastAsia="楷体" w:hAnsi="楷体" w:hint="eastAsia"/>
          <w:sz w:val="28"/>
          <w:szCs w:val="28"/>
        </w:rPr>
        <w:t>（加粗加下划线为新增内容，加粗加删除线为删除内容）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2306"/>
        <w:gridCol w:w="2997"/>
        <w:gridCol w:w="78"/>
        <w:gridCol w:w="2210"/>
      </w:tblGrid>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jc w:val="center"/>
              <w:rPr>
                <w:rFonts w:ascii="仿宋" w:eastAsia="仿宋" w:hAnsi="仿宋"/>
                <w:b/>
                <w:bCs/>
                <w:sz w:val="24"/>
                <w:szCs w:val="22"/>
              </w:rPr>
            </w:pPr>
            <w:r>
              <w:rPr>
                <w:rFonts w:ascii="仿宋" w:eastAsia="仿宋" w:hAnsi="仿宋" w:hint="eastAsia"/>
                <w:b/>
                <w:bCs/>
                <w:sz w:val="24"/>
              </w:rPr>
              <w:t>序号</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jc w:val="center"/>
              <w:rPr>
                <w:rFonts w:ascii="仿宋" w:eastAsia="仿宋" w:hAnsi="仿宋"/>
                <w:b/>
                <w:bCs/>
                <w:sz w:val="24"/>
                <w:szCs w:val="22"/>
              </w:rPr>
            </w:pPr>
            <w:r>
              <w:rPr>
                <w:rFonts w:ascii="仿宋" w:eastAsia="仿宋" w:hAnsi="仿宋" w:hint="eastAsia"/>
                <w:b/>
                <w:bCs/>
                <w:sz w:val="24"/>
              </w:rPr>
              <w:t>现行条文</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jc w:val="center"/>
              <w:rPr>
                <w:rFonts w:ascii="仿宋" w:eastAsia="仿宋" w:hAnsi="仿宋"/>
                <w:b/>
                <w:bCs/>
                <w:sz w:val="24"/>
                <w:szCs w:val="22"/>
              </w:rPr>
            </w:pPr>
            <w:r>
              <w:rPr>
                <w:rFonts w:ascii="仿宋" w:eastAsia="仿宋" w:hAnsi="仿宋" w:hint="eastAsia"/>
                <w:b/>
                <w:bCs/>
                <w:sz w:val="24"/>
              </w:rPr>
              <w:t>修订草案条文</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jc w:val="center"/>
              <w:rPr>
                <w:rFonts w:ascii="仿宋" w:eastAsia="仿宋" w:hAnsi="仿宋"/>
                <w:b/>
                <w:bCs/>
                <w:sz w:val="24"/>
                <w:szCs w:val="22"/>
              </w:rPr>
            </w:pPr>
            <w:r>
              <w:rPr>
                <w:rFonts w:ascii="仿宋" w:eastAsia="仿宋" w:hAnsi="仿宋" w:hint="eastAsia"/>
                <w:b/>
                <w:bCs/>
                <w:sz w:val="24"/>
              </w:rPr>
              <w:t>修订理由及备注</w:t>
            </w:r>
          </w:p>
        </w:tc>
      </w:tr>
      <w:tr w:rsidR="00101ED2" w:rsidTr="002C6EFC">
        <w:trPr>
          <w:trHeight w:val="49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ED2" w:rsidRDefault="00101ED2" w:rsidP="002C6EFC">
            <w:pPr>
              <w:snapToGrid w:val="0"/>
              <w:jc w:val="center"/>
              <w:rPr>
                <w:rFonts w:ascii="黑体" w:eastAsia="黑体" w:hAnsi="黑体"/>
                <w:bCs/>
                <w:sz w:val="24"/>
                <w:szCs w:val="22"/>
              </w:rPr>
            </w:pPr>
            <w:r>
              <w:rPr>
                <w:rFonts w:ascii="黑体" w:eastAsia="黑体" w:hAnsi="黑体" w:hint="eastAsia"/>
                <w:bCs/>
                <w:sz w:val="24"/>
              </w:rPr>
              <w:t>第一章 总则</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第一条 为加强郑州商品交易所……</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第一条 为</w:t>
            </w:r>
            <w:r>
              <w:rPr>
                <w:rFonts w:ascii="仿宋" w:eastAsia="仿宋" w:hAnsi="仿宋" w:hint="eastAsia"/>
                <w:b/>
                <w:bCs/>
                <w:sz w:val="24"/>
                <w:u w:val="single"/>
              </w:rPr>
              <w:t>了</w:t>
            </w:r>
            <w:r>
              <w:rPr>
                <w:rFonts w:ascii="仿宋" w:eastAsia="仿宋" w:hAnsi="仿宋" w:hint="eastAsia"/>
                <w:bCs/>
                <w:sz w:val="24"/>
              </w:rPr>
              <w:t>加强郑州商品交易所……</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第一条 ……根据《中华人民共和国合同法》和《郑州商品交易所交易规则》等有关规定，制定本办法。</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第一条 ……根据</w:t>
            </w:r>
            <w:r>
              <w:rPr>
                <w:rFonts w:ascii="仿宋" w:eastAsia="仿宋" w:hAnsi="仿宋" w:hint="eastAsia"/>
                <w:b/>
                <w:bCs/>
                <w:strike/>
                <w:sz w:val="24"/>
              </w:rPr>
              <w:t>《中华人民共和国合同法》和</w:t>
            </w:r>
            <w:r>
              <w:rPr>
                <w:rFonts w:ascii="仿宋" w:eastAsia="仿宋" w:hAnsi="仿宋" w:hint="eastAsia"/>
                <w:bCs/>
                <w:sz w:val="24"/>
              </w:rPr>
              <w:t>《郑州商品交易所交易规则》</w:t>
            </w:r>
            <w:r>
              <w:rPr>
                <w:rFonts w:ascii="仿宋" w:eastAsia="仿宋" w:hAnsi="仿宋" w:hint="eastAsia"/>
                <w:b/>
                <w:bCs/>
                <w:sz w:val="24"/>
                <w:u w:val="single"/>
              </w:rPr>
              <w:t>（以下简称交易规则）</w:t>
            </w:r>
            <w:r>
              <w:rPr>
                <w:rFonts w:ascii="仿宋" w:eastAsia="仿宋" w:hAnsi="仿宋" w:hint="eastAsia"/>
                <w:bCs/>
                <w:sz w:val="24"/>
              </w:rPr>
              <w:t>等有关规定，制定本办法。</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规范性调整。民法典将于2021年1月1日起实施，合同法届时将被废止；虽然郑商所与交割仓库之间主要是合同法律关系，但合同法不是本办法制定的直接依据。</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第二条 指定商品交割仓库（以下简称交割仓库）是指经交易所指定的……</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第二条 指定商品交割仓库（以下简称交割仓库）</w:t>
            </w:r>
            <w:r>
              <w:rPr>
                <w:rFonts w:ascii="仿宋" w:eastAsia="仿宋" w:hAnsi="仿宋" w:hint="eastAsia"/>
                <w:b/>
                <w:bCs/>
                <w:sz w:val="24"/>
                <w:u w:val="single"/>
              </w:rPr>
              <w:t>,</w:t>
            </w:r>
            <w:r>
              <w:rPr>
                <w:rFonts w:ascii="仿宋" w:eastAsia="仿宋" w:hAnsi="仿宋" w:hint="eastAsia"/>
                <w:bCs/>
                <w:sz w:val="24"/>
              </w:rPr>
              <w:t>是指经交易所指定的……</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rPr>
            </w:pPr>
            <w:r>
              <w:rPr>
                <w:rFonts w:ascii="仿宋" w:eastAsia="仿宋" w:hAnsi="仿宋" w:hint="eastAsia"/>
                <w:bCs/>
                <w:sz w:val="24"/>
              </w:rPr>
              <w:t>第二条……</w:t>
            </w:r>
          </w:p>
          <w:p w:rsidR="00101ED2" w:rsidRDefault="00101ED2" w:rsidP="002C6EFC">
            <w:pPr>
              <w:snapToGrid w:val="0"/>
              <w:rPr>
                <w:rFonts w:ascii="仿宋" w:eastAsia="仿宋" w:hAnsi="仿宋"/>
                <w:bCs/>
                <w:sz w:val="24"/>
                <w:szCs w:val="22"/>
                <w:u w:val="single"/>
              </w:rPr>
            </w:pPr>
            <w:r>
              <w:rPr>
                <w:rFonts w:ascii="仿宋" w:eastAsia="仿宋" w:hAnsi="仿宋" w:hint="eastAsia"/>
                <w:b/>
                <w:bCs/>
                <w:sz w:val="24"/>
                <w:u w:val="single"/>
              </w:rPr>
              <w:t>本办法所称交割仓库不包括交易所指定商品交割厂库，交易所对指定商品交割厂库的管理遵照《郑州商品交易所指定商品交割厂库管理办法》执行。</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规范性调整。明确本办法的适用范围，区分交割仓库和交割厂库管理制度。</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5</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第三条 交易所依据本办法对交割仓库进行管理，交割仓库及其有关工作人员应当遵守本办法。</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第三条 交易所依据本办法</w:t>
            </w:r>
            <w:r>
              <w:rPr>
                <w:rFonts w:ascii="仿宋" w:eastAsia="仿宋" w:hAnsi="仿宋" w:hint="eastAsia"/>
                <w:b/>
                <w:bCs/>
                <w:sz w:val="24"/>
                <w:u w:val="single"/>
              </w:rPr>
              <w:t>与交割仓库签订交割仓库协议书，交割仓库协议书应当约定交易所</w:t>
            </w:r>
            <w:r>
              <w:rPr>
                <w:rFonts w:ascii="仿宋" w:eastAsia="仿宋" w:hAnsi="仿宋" w:hint="eastAsia"/>
                <w:bCs/>
                <w:sz w:val="24"/>
              </w:rPr>
              <w:t>对交割仓库</w:t>
            </w:r>
            <w:r>
              <w:rPr>
                <w:rFonts w:ascii="仿宋" w:eastAsia="仿宋" w:hAnsi="仿宋" w:hint="eastAsia"/>
                <w:b/>
                <w:bCs/>
                <w:sz w:val="24"/>
                <w:u w:val="single"/>
              </w:rPr>
              <w:t>期货交割业务</w:t>
            </w:r>
            <w:r>
              <w:rPr>
                <w:rFonts w:ascii="仿宋" w:eastAsia="仿宋" w:hAnsi="仿宋" w:hint="eastAsia"/>
                <w:bCs/>
                <w:sz w:val="24"/>
              </w:rPr>
              <w:t>进行管理，交割仓库及其有关工作人员应当遵守本办法。</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规范性调整。交易所与交割仓库之间主要存在合同法律关系，调整相关表述，有助于明确交易所对交割仓库期货交割业务进行管理的法律基础。</w:t>
            </w:r>
          </w:p>
        </w:tc>
      </w:tr>
      <w:tr w:rsidR="00101ED2" w:rsidTr="002C6EFC">
        <w:trPr>
          <w:trHeight w:val="401"/>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ED2" w:rsidRDefault="00101ED2" w:rsidP="002C6EFC">
            <w:pPr>
              <w:snapToGrid w:val="0"/>
              <w:jc w:val="center"/>
              <w:rPr>
                <w:rFonts w:ascii="黑体" w:eastAsia="黑体" w:hAnsi="黑体"/>
                <w:bCs/>
                <w:sz w:val="24"/>
                <w:szCs w:val="22"/>
              </w:rPr>
            </w:pPr>
            <w:r>
              <w:rPr>
                <w:rFonts w:ascii="黑体" w:eastAsia="黑体" w:hAnsi="黑体" w:hint="eastAsia"/>
                <w:bCs/>
                <w:sz w:val="24"/>
              </w:rPr>
              <w:t>第二章 申请与审批</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6</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 申请交割仓库应当具备以下条</w:t>
            </w:r>
            <w:r>
              <w:rPr>
                <w:rFonts w:ascii="仿宋" w:eastAsia="仿宋" w:hAnsi="仿宋" w:hint="eastAsia"/>
                <w:bCs/>
                <w:sz w:val="24"/>
              </w:rPr>
              <w:lastRenderedPageBreak/>
              <w:t>件：</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第四条 申请</w:t>
            </w:r>
            <w:r>
              <w:rPr>
                <w:rFonts w:ascii="仿宋" w:eastAsia="仿宋" w:hAnsi="仿宋" w:hint="eastAsia"/>
                <w:b/>
                <w:bCs/>
                <w:sz w:val="24"/>
                <w:u w:val="single"/>
              </w:rPr>
              <w:t>成为</w:t>
            </w:r>
            <w:r>
              <w:rPr>
                <w:rFonts w:ascii="仿宋" w:eastAsia="仿宋" w:hAnsi="仿宋" w:hint="eastAsia"/>
                <w:bCs/>
                <w:sz w:val="24"/>
              </w:rPr>
              <w:t>交割仓库应当具备以下条件：</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7</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第四条（一）：工商行政管理部门颁发的营业执照应载明“仓储”或“储运”业务；</w:t>
            </w:r>
          </w:p>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第四条（一）</w:t>
            </w:r>
            <w:r>
              <w:rPr>
                <w:rFonts w:ascii="仿宋" w:eastAsia="仿宋" w:hAnsi="仿宋" w:hint="eastAsia"/>
                <w:b/>
                <w:bCs/>
                <w:strike/>
                <w:sz w:val="24"/>
              </w:rPr>
              <w:t>工商行政管理部门颁发的营业执照应载明“仓储”或“储运”业务；</w:t>
            </w:r>
            <w:r>
              <w:rPr>
                <w:rFonts w:ascii="仿宋" w:eastAsia="仿宋" w:hAnsi="仿宋" w:hint="eastAsia"/>
                <w:b/>
                <w:bCs/>
                <w:sz w:val="24"/>
              </w:rPr>
              <w:t>依法持有企业法人营业执照或事业单位法人登记证书,营业范围应当载明“仓储”或“储运”等业务；</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Pr="005C7DBD" w:rsidRDefault="00101ED2" w:rsidP="002C6EFC">
            <w:pPr>
              <w:snapToGrid w:val="0"/>
              <w:rPr>
                <w:rFonts w:ascii="仿宋" w:eastAsia="仿宋" w:hAnsi="仿宋"/>
                <w:bCs/>
                <w:sz w:val="24"/>
              </w:rPr>
            </w:pPr>
            <w:r w:rsidRPr="005C7DBD">
              <w:rPr>
                <w:rFonts w:ascii="仿宋" w:eastAsia="仿宋" w:hAnsi="仿宋" w:hint="eastAsia"/>
                <w:bCs/>
                <w:sz w:val="24"/>
              </w:rPr>
              <w:t>2018年国家机构改革和职权调整，</w:t>
            </w:r>
            <w:r>
              <w:rPr>
                <w:rFonts w:ascii="仿宋" w:eastAsia="仿宋" w:hAnsi="仿宋" w:hint="eastAsia"/>
                <w:bCs/>
                <w:sz w:val="24"/>
              </w:rPr>
              <w:t>工商行政管理部门更名为</w:t>
            </w:r>
            <w:r w:rsidRPr="005C7DBD">
              <w:rPr>
                <w:rFonts w:ascii="仿宋" w:eastAsia="仿宋" w:hAnsi="仿宋" w:hint="eastAsia"/>
                <w:bCs/>
                <w:sz w:val="24"/>
              </w:rPr>
              <w:t>市场监督管理部门。</w:t>
            </w:r>
            <w:r>
              <w:rPr>
                <w:rFonts w:ascii="仿宋" w:eastAsia="仿宋" w:hAnsi="仿宋" w:hint="eastAsia"/>
                <w:bCs/>
                <w:sz w:val="24"/>
              </w:rPr>
              <w:t>实践中，一些交割仓库登记为事业单位法人。</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8</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第四条（二）：净资产和注册资本应当达到交易所要求的数额；</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第四条（二）净资产</w:t>
            </w:r>
            <w:r>
              <w:rPr>
                <w:rFonts w:ascii="仿宋" w:eastAsia="仿宋" w:hAnsi="仿宋" w:hint="eastAsia"/>
                <w:b/>
                <w:bCs/>
                <w:strike/>
                <w:sz w:val="24"/>
              </w:rPr>
              <w:t>和</w:t>
            </w:r>
            <w:r>
              <w:rPr>
                <w:rFonts w:ascii="仿宋" w:eastAsia="仿宋" w:hAnsi="仿宋" w:hint="eastAsia"/>
                <w:b/>
                <w:bCs/>
                <w:sz w:val="24"/>
              </w:rPr>
              <w:t>、</w:t>
            </w:r>
            <w:r>
              <w:rPr>
                <w:rFonts w:ascii="仿宋" w:eastAsia="仿宋" w:hAnsi="仿宋" w:hint="eastAsia"/>
                <w:bCs/>
                <w:sz w:val="24"/>
              </w:rPr>
              <w:t>注册资本</w:t>
            </w:r>
            <w:r>
              <w:rPr>
                <w:rFonts w:ascii="仿宋" w:eastAsia="仿宋" w:hAnsi="仿宋" w:hint="eastAsia"/>
                <w:b/>
                <w:bCs/>
                <w:sz w:val="24"/>
                <w:u w:val="single"/>
              </w:rPr>
              <w:t>及注册资本实缴金额</w:t>
            </w:r>
            <w:r>
              <w:rPr>
                <w:rFonts w:ascii="仿宋" w:eastAsia="仿宋" w:hAnsi="仿宋" w:hint="eastAsia"/>
                <w:bCs/>
                <w:sz w:val="24"/>
              </w:rPr>
              <w:t>应当达到交易所要求的数额；</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32"/>
                <w:szCs w:val="32"/>
              </w:rPr>
            </w:pPr>
            <w:r>
              <w:rPr>
                <w:rFonts w:ascii="仿宋" w:eastAsia="仿宋" w:hAnsi="仿宋" w:hint="eastAsia"/>
                <w:bCs/>
                <w:sz w:val="24"/>
              </w:rPr>
              <w:t>为更好地反映交割仓库申请企业实际资产水平，将原来对注册资本的要求改为对注册资本及注册资本实缴金额的要求。</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9</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第四条（四）具有良好的商业信誉，完善的仓储管理规章制度，未发现严重违法行为记录和被取消交割仓库资格的记录；</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第四条（四）具有良好的商业信誉，完善的仓储管理规章制度，</w:t>
            </w:r>
            <w:r>
              <w:rPr>
                <w:rFonts w:ascii="仿宋" w:eastAsia="仿宋" w:hAnsi="仿宋" w:hint="eastAsia"/>
                <w:b/>
                <w:bCs/>
                <w:sz w:val="24"/>
                <w:u w:val="single"/>
              </w:rPr>
              <w:t>近期</w:t>
            </w:r>
            <w:r>
              <w:rPr>
                <w:rFonts w:ascii="仿宋" w:eastAsia="仿宋" w:hAnsi="仿宋" w:hint="eastAsia"/>
                <w:bCs/>
                <w:sz w:val="24"/>
              </w:rPr>
              <w:t>未发现严重违法违规行为</w:t>
            </w:r>
            <w:r>
              <w:rPr>
                <w:rFonts w:ascii="仿宋" w:eastAsia="仿宋" w:hAnsi="仿宋" w:hint="eastAsia"/>
                <w:b/>
                <w:bCs/>
                <w:sz w:val="24"/>
                <w:u w:val="single"/>
              </w:rPr>
              <w:t>、严重失信行为、重大安全事故、</w:t>
            </w:r>
            <w:r>
              <w:rPr>
                <w:rFonts w:ascii="仿宋" w:eastAsia="仿宋" w:hAnsi="仿宋" w:hint="eastAsia"/>
                <w:bCs/>
                <w:strike/>
                <w:sz w:val="24"/>
              </w:rPr>
              <w:t>和</w:t>
            </w:r>
            <w:r>
              <w:rPr>
                <w:rFonts w:ascii="仿宋" w:eastAsia="仿宋" w:hAnsi="仿宋" w:hint="eastAsia"/>
                <w:bCs/>
                <w:sz w:val="24"/>
              </w:rPr>
              <w:t>被取消交割仓库资格的记录</w:t>
            </w:r>
            <w:r>
              <w:rPr>
                <w:rFonts w:ascii="仿宋" w:eastAsia="仿宋" w:hAnsi="仿宋" w:hint="eastAsia"/>
                <w:b/>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将企业有无严重失信行为和重大安全事故记录作为申请条件，促进企业提升依法合规、安全经营的工作意识。</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10</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第四条（五）承认并遵守交易所的交易规则、交割细则等规定；</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（五）承认并遵守交易所的交易规则、</w:t>
            </w:r>
            <w:r>
              <w:rPr>
                <w:rFonts w:ascii="仿宋" w:eastAsia="仿宋" w:hAnsi="仿宋" w:hint="eastAsia"/>
                <w:b/>
                <w:bCs/>
                <w:strike/>
                <w:sz w:val="24"/>
              </w:rPr>
              <w:t>交割细则等规定</w:t>
            </w:r>
            <w:r>
              <w:rPr>
                <w:rFonts w:ascii="仿宋" w:eastAsia="仿宋" w:hAnsi="仿宋" w:hint="eastAsia"/>
                <w:b/>
                <w:bCs/>
                <w:sz w:val="24"/>
                <w:u w:val="single"/>
              </w:rPr>
              <w:t>《郑州商品交易所期货交割细则》（以下简称交割细则）、《郑州商品交易所标准仓单管理办法》（以下简称标准仓单管理办法）等规定</w:t>
            </w:r>
            <w:r>
              <w:rPr>
                <w:rFonts w:ascii="仿宋" w:eastAsia="仿宋" w:hAnsi="仿宋" w:hint="eastAsia"/>
                <w:bCs/>
                <w:sz w:val="24"/>
                <w:u w:val="single"/>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11</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第四条(七)有储存相应交割商品的条件，库容有一定规模，设备完好、计量符合规定要求；</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第四条(七)有储存相应交割商品的条件，库容有一定规模，</w:t>
            </w:r>
            <w:r>
              <w:rPr>
                <w:rFonts w:ascii="仿宋" w:eastAsia="仿宋" w:hAnsi="仿宋" w:hint="eastAsia"/>
                <w:b/>
                <w:bCs/>
                <w:strike/>
                <w:sz w:val="24"/>
              </w:rPr>
              <w:t>设备完好、计量</w:t>
            </w:r>
            <w:r>
              <w:rPr>
                <w:rFonts w:ascii="仿宋" w:eastAsia="仿宋" w:hAnsi="仿宋" w:hint="eastAsia"/>
                <w:b/>
                <w:bCs/>
                <w:sz w:val="24"/>
                <w:u w:val="single"/>
              </w:rPr>
              <w:t>仓储、计量设备、设施完好、齐全，</w:t>
            </w:r>
            <w:r>
              <w:rPr>
                <w:rFonts w:ascii="仿宋" w:eastAsia="仿宋" w:hAnsi="仿宋" w:hint="eastAsia"/>
                <w:bCs/>
                <w:sz w:val="24"/>
              </w:rPr>
              <w:t>符合规定要求；</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 。</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12</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第四条（十）申请保税交割业务的，应当具有保税仓库经营资格；</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第四条（十）申请</w:t>
            </w:r>
            <w:r>
              <w:rPr>
                <w:rFonts w:ascii="仿宋" w:eastAsia="仿宋" w:hAnsi="仿宋" w:hint="eastAsia"/>
                <w:b/>
                <w:bCs/>
                <w:sz w:val="24"/>
                <w:u w:val="single"/>
              </w:rPr>
              <w:t>期货</w:t>
            </w:r>
            <w:r>
              <w:rPr>
                <w:rFonts w:ascii="仿宋" w:eastAsia="仿宋" w:hAnsi="仿宋" w:hint="eastAsia"/>
                <w:bCs/>
                <w:sz w:val="24"/>
              </w:rPr>
              <w:t>保税交割业务的，</w:t>
            </w:r>
            <w:r>
              <w:rPr>
                <w:rFonts w:ascii="仿宋" w:eastAsia="仿宋" w:hAnsi="仿宋" w:hint="eastAsia"/>
                <w:b/>
                <w:bCs/>
                <w:strike/>
                <w:sz w:val="24"/>
              </w:rPr>
              <w:t>应当具有保税仓库经营资格</w:t>
            </w:r>
            <w:r>
              <w:rPr>
                <w:rFonts w:ascii="仿宋" w:eastAsia="仿宋" w:hAnsi="仿宋" w:hint="eastAsia"/>
                <w:b/>
                <w:bCs/>
                <w:sz w:val="24"/>
                <w:u w:val="single"/>
              </w:rPr>
              <w:t>其开展期货保税交割业务</w:t>
            </w:r>
            <w:r w:rsidRPr="00C47CD6">
              <w:rPr>
                <w:rFonts w:ascii="仿宋" w:eastAsia="仿宋" w:hAnsi="仿宋" w:hint="eastAsia"/>
                <w:b/>
                <w:bCs/>
                <w:sz w:val="24"/>
                <w:u w:val="single"/>
              </w:rPr>
              <w:t>及</w:t>
            </w:r>
            <w:r>
              <w:rPr>
                <w:rFonts w:ascii="仿宋" w:eastAsia="仿宋" w:hAnsi="仿宋" w:hint="eastAsia"/>
                <w:b/>
                <w:bCs/>
                <w:sz w:val="24"/>
                <w:u w:val="single"/>
              </w:rPr>
              <w:t>所涉及的海关特殊监管区域或保税监管场所应当经海关批准；</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申请成为郑商所保税交割仓库并开展保税交割业务的营业组织，需首先得到海关部门的批准。相关表述与郑商所保税交割管理制度保持一致。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13</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第四条</w:t>
            </w:r>
            <w:r>
              <w:rPr>
                <w:rFonts w:ascii="仿宋" w:eastAsia="仿宋" w:hAnsi="仿宋" w:hint="eastAsia"/>
                <w:b/>
                <w:bCs/>
                <w:sz w:val="24"/>
                <w:u w:val="single"/>
              </w:rPr>
              <w:t>（十一）满足交易所</w:t>
            </w:r>
            <w:r>
              <w:rPr>
                <w:rFonts w:ascii="仿宋" w:eastAsia="仿宋" w:hAnsi="仿宋" w:hint="eastAsia"/>
                <w:b/>
                <w:bCs/>
                <w:sz w:val="24"/>
                <w:u w:val="single"/>
              </w:rPr>
              <w:lastRenderedPageBreak/>
              <w:t>规定的视频监控、仓储管理等相关系统及其它设施和设备要求</w:t>
            </w:r>
            <w:r>
              <w:rPr>
                <w:rFonts w:ascii="仿宋" w:eastAsia="仿宋" w:hAnsi="仿宋" w:hint="eastAsia"/>
                <w:bCs/>
                <w:sz w:val="24"/>
              </w:rPr>
              <w:t>；</w:t>
            </w:r>
          </w:p>
          <w:p w:rsidR="00101ED2" w:rsidRDefault="00101ED2" w:rsidP="002C6EFC">
            <w:pPr>
              <w:snapToGrid w:val="0"/>
              <w:rPr>
                <w:rFonts w:ascii="仿宋" w:eastAsia="仿宋" w:hAnsi="仿宋"/>
                <w:bCs/>
                <w:sz w:val="24"/>
                <w:szCs w:val="22"/>
              </w:rPr>
            </w:pP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新增条文，为加强</w:t>
            </w:r>
            <w:r>
              <w:rPr>
                <w:rFonts w:ascii="仿宋" w:eastAsia="仿宋" w:hAnsi="仿宋" w:hint="eastAsia"/>
                <w:bCs/>
                <w:sz w:val="24"/>
              </w:rPr>
              <w:lastRenderedPageBreak/>
              <w:t>交割货物监管，要求今后申请交割仓库资格的企业需具备满足郑商所要求的视频监控、电子仓管系统等其他技术条件。</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14</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第四条</w:t>
            </w:r>
            <w:r>
              <w:rPr>
                <w:rFonts w:ascii="仿宋" w:eastAsia="仿宋" w:hAnsi="仿宋" w:hint="eastAsia"/>
                <w:b/>
                <w:bCs/>
                <w:sz w:val="24"/>
                <w:u w:val="single"/>
              </w:rPr>
              <w:t>（十二）具备符合交割商品仓储保管要求的消防设备、设施和人员等</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新增条文，将申请单位的消防设施和人员情况作为必要条件之一。</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15</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 申请成为交割仓库应当提供以下材料：</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 申请成为交割仓库应当提</w:t>
            </w:r>
            <w:r>
              <w:rPr>
                <w:rFonts w:ascii="仿宋" w:eastAsia="仿宋" w:hAnsi="仿宋" w:hint="eastAsia"/>
                <w:b/>
                <w:bCs/>
                <w:strike/>
                <w:sz w:val="24"/>
              </w:rPr>
              <w:t>供</w:t>
            </w:r>
            <w:r>
              <w:rPr>
                <w:rFonts w:ascii="仿宋" w:eastAsia="仿宋" w:hAnsi="仿宋" w:hint="eastAsia"/>
                <w:b/>
                <w:bCs/>
                <w:sz w:val="24"/>
              </w:rPr>
              <w:t>交</w:t>
            </w:r>
            <w:r>
              <w:rPr>
                <w:rFonts w:ascii="仿宋" w:eastAsia="仿宋" w:hAnsi="仿宋" w:hint="eastAsia"/>
                <w:bCs/>
                <w:sz w:val="24"/>
              </w:rPr>
              <w:t>以下材料：</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 。</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16</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第五条（二）工商行政部门颁发的营业执照（复印件）；</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第五条（二）</w:t>
            </w:r>
            <w:r>
              <w:rPr>
                <w:rFonts w:ascii="仿宋" w:eastAsia="仿宋" w:hAnsi="仿宋" w:hint="eastAsia"/>
                <w:b/>
                <w:bCs/>
                <w:strike/>
                <w:sz w:val="24"/>
              </w:rPr>
              <w:t>工商行政部门颁发的营业执照（复印件）</w:t>
            </w:r>
            <w:r>
              <w:rPr>
                <w:rFonts w:ascii="仿宋" w:eastAsia="仿宋" w:hAnsi="仿宋" w:hint="eastAsia"/>
                <w:b/>
                <w:bCs/>
                <w:sz w:val="24"/>
                <w:u w:val="single"/>
              </w:rPr>
              <w:t>营业执照或事业单位法人证书</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与第四条（一）保持一致。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17</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第五条（三）会计师事务所出具的近两年审计报告或经交易所认可的相关部门审计的年度财务报表；</w:t>
            </w:r>
          </w:p>
        </w:tc>
        <w:tc>
          <w:tcPr>
            <w:tcW w:w="1803" w:type="pct"/>
            <w:gridSpan w:val="2"/>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第五条（三）会计师事务所出具的近两年审计报告或经交易所认可的相关部门审计的年度财务报表</w:t>
            </w:r>
            <w:r>
              <w:rPr>
                <w:rFonts w:ascii="仿宋" w:eastAsia="仿宋" w:hAnsi="仿宋" w:hint="eastAsia"/>
                <w:b/>
                <w:bCs/>
                <w:sz w:val="24"/>
                <w:u w:val="single"/>
              </w:rPr>
              <w:t>等有关材料；经营期不满两年的，提交经交易所认可的自成立之日起的审计报告或财务报表等有关材料</w:t>
            </w:r>
            <w:r>
              <w:rPr>
                <w:rFonts w:ascii="仿宋" w:eastAsia="仿宋" w:hAnsi="仿宋" w:hint="eastAsia"/>
                <w:bCs/>
                <w:sz w:val="24"/>
              </w:rPr>
              <w:t>；</w:t>
            </w:r>
          </w:p>
          <w:p w:rsidR="00101ED2" w:rsidRDefault="00101ED2" w:rsidP="002C6EFC">
            <w:pPr>
              <w:snapToGrid w:val="0"/>
              <w:rPr>
                <w:rFonts w:ascii="仿宋" w:eastAsia="仿宋" w:hAnsi="仿宋"/>
                <w:bCs/>
                <w:sz w:val="24"/>
                <w:szCs w:val="22"/>
              </w:rPr>
            </w:pP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新增对于经营期不足两年的申请单位的材料要求。</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18</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第五条（四）申请单位上级主管部门或董事会出具的同意申请交割仓库的批准文件；</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第五条（四）申请单位上级主管部门或</w:t>
            </w:r>
            <w:r>
              <w:rPr>
                <w:rFonts w:ascii="仿宋" w:eastAsia="仿宋" w:hAnsi="仿宋" w:hint="eastAsia"/>
                <w:b/>
                <w:bCs/>
                <w:strike/>
                <w:sz w:val="24"/>
              </w:rPr>
              <w:t>董事会</w:t>
            </w:r>
            <w:r>
              <w:rPr>
                <w:rFonts w:ascii="仿宋" w:eastAsia="仿宋" w:hAnsi="仿宋" w:hint="eastAsia"/>
                <w:b/>
                <w:bCs/>
                <w:sz w:val="24"/>
                <w:u w:val="single"/>
              </w:rPr>
              <w:t>章程规定的机构</w:t>
            </w:r>
            <w:r>
              <w:rPr>
                <w:rFonts w:ascii="仿宋" w:eastAsia="仿宋" w:hAnsi="仿宋" w:hint="eastAsia"/>
                <w:bCs/>
                <w:sz w:val="24"/>
              </w:rPr>
              <w:t>出具的同意申请交割仓库的批准文件；</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部分申请单位存在股东较少或规模较小不设董事会的情况，因此调整材料要求。</w:t>
            </w:r>
          </w:p>
        </w:tc>
      </w:tr>
      <w:tr w:rsidR="00101ED2" w:rsidTr="002C6EFC">
        <w:trPr>
          <w:trHeight w:val="1947"/>
        </w:trPr>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19</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第五条（六）租赁场房经营的企业，应提供与场房所有者之间签订的租赁合同（协议）等文件；</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第五条（六）</w:t>
            </w:r>
            <w:r>
              <w:rPr>
                <w:rFonts w:ascii="仿宋" w:eastAsia="仿宋" w:hAnsi="仿宋" w:hint="eastAsia"/>
                <w:b/>
                <w:bCs/>
                <w:sz w:val="24"/>
                <w:u w:val="single"/>
              </w:rPr>
              <w:t>仓库土地使用证、房屋所有权证等不动产权属证明文件及相关文件；</w:t>
            </w:r>
            <w:r>
              <w:rPr>
                <w:rFonts w:ascii="仿宋" w:eastAsia="仿宋" w:hAnsi="仿宋" w:hint="eastAsia"/>
                <w:bCs/>
                <w:sz w:val="24"/>
              </w:rPr>
              <w:t>租赁场房经营的</w:t>
            </w:r>
            <w:r>
              <w:rPr>
                <w:rFonts w:ascii="仿宋" w:eastAsia="仿宋" w:hAnsi="仿宋" w:hint="eastAsia"/>
                <w:b/>
                <w:bCs/>
                <w:strike/>
                <w:sz w:val="24"/>
              </w:rPr>
              <w:t>企业</w:t>
            </w:r>
            <w:r>
              <w:rPr>
                <w:rFonts w:ascii="仿宋" w:eastAsia="仿宋" w:hAnsi="仿宋" w:hint="eastAsia"/>
                <w:bCs/>
                <w:sz w:val="24"/>
              </w:rPr>
              <w:t>，申请单位应当提供与场房所有者之间签订的租赁合同</w:t>
            </w:r>
            <w:r>
              <w:rPr>
                <w:rFonts w:ascii="仿宋" w:eastAsia="仿宋" w:hAnsi="仿宋" w:hint="eastAsia"/>
                <w:b/>
                <w:bCs/>
                <w:strike/>
                <w:sz w:val="24"/>
              </w:rPr>
              <w:t>（协议）</w:t>
            </w:r>
            <w:r>
              <w:rPr>
                <w:rFonts w:ascii="仿宋" w:eastAsia="仿宋" w:hAnsi="仿宋" w:hint="eastAsia"/>
                <w:bCs/>
                <w:sz w:val="24"/>
              </w:rPr>
              <w:t>等文件；</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与实践中申请要求保持一致。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20</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
                <w:bCs/>
                <w:sz w:val="24"/>
              </w:rPr>
            </w:pPr>
            <w:r>
              <w:rPr>
                <w:rFonts w:ascii="仿宋" w:eastAsia="仿宋" w:hAnsi="仿宋" w:hint="eastAsia"/>
                <w:bCs/>
                <w:sz w:val="24"/>
              </w:rPr>
              <w:t>第五条</w:t>
            </w:r>
            <w:r>
              <w:rPr>
                <w:rFonts w:ascii="仿宋" w:eastAsia="仿宋" w:hAnsi="仿宋" w:hint="eastAsia"/>
                <w:b/>
                <w:bCs/>
                <w:sz w:val="24"/>
                <w:u w:val="single"/>
              </w:rPr>
              <w:t>（八）经当地消防部门等国家有关机构验收签发的消防安全达标验收证明等</w:t>
            </w:r>
            <w:r>
              <w:rPr>
                <w:rFonts w:ascii="仿宋" w:eastAsia="仿宋" w:hAnsi="仿宋" w:hint="eastAsia"/>
                <w:bCs/>
                <w:sz w:val="24"/>
              </w:rPr>
              <w:t>；</w:t>
            </w:r>
          </w:p>
          <w:p w:rsidR="00101ED2" w:rsidRDefault="00101ED2" w:rsidP="002C6EFC">
            <w:pPr>
              <w:snapToGrid w:val="0"/>
              <w:rPr>
                <w:rFonts w:ascii="仿宋" w:eastAsia="仿宋" w:hAnsi="仿宋"/>
                <w:b/>
                <w:bCs/>
                <w:sz w:val="24"/>
                <w:szCs w:val="22"/>
              </w:rPr>
            </w:pP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新增条文，与第二章第四条（十二）保持一致。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21</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w:t>
            </w:r>
            <w:r>
              <w:rPr>
                <w:rFonts w:ascii="仿宋" w:eastAsia="仿宋" w:hAnsi="仿宋" w:hint="eastAsia"/>
                <w:b/>
                <w:bCs/>
                <w:sz w:val="24"/>
                <w:u w:val="single"/>
              </w:rPr>
              <w:t>（九）视频监控、仓储管理等信息系统建设情况</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新增条文，根据郑商所交割仓库科技监管要求，交割仓库需配合郑商所完成视频监控、仓管系统等信息化建设工作。</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22</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第五条（十）交易所要求提供的其他材料；</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第五条（十）交易所要求</w:t>
            </w:r>
            <w:r>
              <w:rPr>
                <w:rFonts w:ascii="仿宋" w:eastAsia="仿宋" w:hAnsi="仿宋" w:hint="eastAsia"/>
                <w:b/>
                <w:bCs/>
                <w:strike/>
                <w:sz w:val="24"/>
              </w:rPr>
              <w:t>提供</w:t>
            </w:r>
            <w:r>
              <w:rPr>
                <w:rFonts w:ascii="仿宋" w:eastAsia="仿宋" w:hAnsi="仿宋" w:hint="eastAsia"/>
                <w:bCs/>
                <w:sz w:val="24"/>
              </w:rPr>
              <w:t>的其他材料</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23</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第六条（二）根据初审结果对申请仓库进行实地调查和评估；</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第六条（二）根据初审结果对申请仓库进行</w:t>
            </w:r>
            <w:r>
              <w:rPr>
                <w:rFonts w:ascii="仿宋" w:eastAsia="仿宋" w:hAnsi="仿宋" w:hint="eastAsia"/>
                <w:b/>
                <w:bCs/>
                <w:strike/>
                <w:sz w:val="24"/>
              </w:rPr>
              <w:t>实地</w:t>
            </w:r>
            <w:r>
              <w:rPr>
                <w:rFonts w:ascii="仿宋" w:eastAsia="仿宋" w:hAnsi="仿宋" w:hint="eastAsia"/>
                <w:bCs/>
                <w:sz w:val="24"/>
              </w:rPr>
              <w:t>调查和评估</w:t>
            </w:r>
          </w:p>
        </w:tc>
        <w:tc>
          <w:tcPr>
            <w:tcW w:w="1296" w:type="pct"/>
            <w:vMerge w:val="restar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考虑到调查方式的多样化及特殊时期无法实地调查的情况，因此删去“实地”，保留一定制度弹性。</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24</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第六条（三）根据实地调查和评估结果择优选用，签订交割仓库协议书。</w:t>
            </w:r>
          </w:p>
        </w:tc>
        <w:tc>
          <w:tcPr>
            <w:tcW w:w="1803" w:type="pct"/>
            <w:gridSpan w:val="2"/>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第六条（三）根据</w:t>
            </w:r>
            <w:r>
              <w:rPr>
                <w:rFonts w:ascii="仿宋" w:eastAsia="仿宋" w:hAnsi="仿宋" w:hint="eastAsia"/>
                <w:b/>
                <w:bCs/>
                <w:strike/>
                <w:sz w:val="24"/>
              </w:rPr>
              <w:t>实地</w:t>
            </w:r>
            <w:r>
              <w:rPr>
                <w:rFonts w:ascii="仿宋" w:eastAsia="仿宋" w:hAnsi="仿宋" w:hint="eastAsia"/>
                <w:bCs/>
                <w:sz w:val="24"/>
              </w:rPr>
              <w:t>调查和评估结果择优选用，签订交割仓库协议书。</w:t>
            </w:r>
          </w:p>
          <w:p w:rsidR="00101ED2" w:rsidRDefault="00101ED2" w:rsidP="002C6EFC">
            <w:pPr>
              <w:snapToGrid w:val="0"/>
              <w:rPr>
                <w:rFonts w:ascii="仿宋" w:eastAsia="仿宋" w:hAnsi="仿宋"/>
                <w:bCs/>
                <w:sz w:val="24"/>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ED2" w:rsidRDefault="00101ED2" w:rsidP="002C6EFC">
            <w:pPr>
              <w:widowControl/>
              <w:snapToGrid w:val="0"/>
              <w:jc w:val="left"/>
              <w:rPr>
                <w:rFonts w:ascii="仿宋" w:eastAsia="仿宋" w:hAnsi="仿宋"/>
                <w:bCs/>
                <w:sz w:val="24"/>
                <w:szCs w:val="22"/>
              </w:rPr>
            </w:pP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25</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第七条 经交易所审定批准，取得交割仓库资格的应当办理以下事宜：</w:t>
            </w:r>
          </w:p>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第七条 经交易所</w:t>
            </w:r>
            <w:r>
              <w:rPr>
                <w:rFonts w:ascii="仿宋" w:eastAsia="仿宋" w:hAnsi="仿宋" w:hint="eastAsia"/>
                <w:b/>
                <w:bCs/>
                <w:strike/>
                <w:sz w:val="24"/>
              </w:rPr>
              <w:t>审定批准</w:t>
            </w:r>
            <w:r>
              <w:rPr>
                <w:rFonts w:ascii="仿宋" w:eastAsia="仿宋" w:hAnsi="仿宋" w:hint="eastAsia"/>
                <w:b/>
                <w:bCs/>
                <w:sz w:val="24"/>
                <w:u w:val="single"/>
              </w:rPr>
              <w:t>审批</w:t>
            </w:r>
            <w:r>
              <w:rPr>
                <w:rFonts w:ascii="仿宋" w:eastAsia="仿宋" w:hAnsi="仿宋" w:hint="eastAsia"/>
                <w:bCs/>
                <w:sz w:val="24"/>
              </w:rPr>
              <w:t>，取得交割仓库资格的</w:t>
            </w:r>
            <w:r>
              <w:rPr>
                <w:rFonts w:ascii="仿宋" w:eastAsia="仿宋" w:hAnsi="仿宋" w:hint="eastAsia"/>
                <w:b/>
                <w:bCs/>
                <w:sz w:val="24"/>
                <w:u w:val="single"/>
              </w:rPr>
              <w:t>申请单位</w:t>
            </w:r>
            <w:r>
              <w:rPr>
                <w:rFonts w:ascii="仿宋" w:eastAsia="仿宋" w:hAnsi="仿宋" w:hint="eastAsia"/>
                <w:bCs/>
                <w:sz w:val="24"/>
              </w:rPr>
              <w:t>应当办理以下事宜：</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26</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第七条（一）申请标准仓单注册所需印章到交易所备案；</w:t>
            </w:r>
          </w:p>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第七条（一）</w:t>
            </w:r>
            <w:r>
              <w:rPr>
                <w:rFonts w:ascii="仿宋" w:eastAsia="仿宋" w:hAnsi="仿宋" w:hint="eastAsia"/>
                <w:b/>
                <w:bCs/>
                <w:sz w:val="24"/>
                <w:u w:val="single"/>
              </w:rPr>
              <w:t>将</w:t>
            </w:r>
            <w:r>
              <w:rPr>
                <w:rFonts w:ascii="仿宋" w:eastAsia="仿宋" w:hAnsi="仿宋" w:hint="eastAsia"/>
                <w:bCs/>
                <w:sz w:val="24"/>
              </w:rPr>
              <w:t>申请标准仓单注册所需印章</w:t>
            </w:r>
            <w:r>
              <w:rPr>
                <w:rFonts w:ascii="仿宋" w:eastAsia="仿宋" w:hAnsi="仿宋" w:hint="eastAsia"/>
                <w:b/>
                <w:bCs/>
                <w:strike/>
                <w:sz w:val="24"/>
              </w:rPr>
              <w:t>到</w:t>
            </w:r>
            <w:r>
              <w:rPr>
                <w:rFonts w:ascii="仿宋" w:eastAsia="仿宋" w:hAnsi="仿宋" w:hint="eastAsia"/>
                <w:b/>
                <w:bCs/>
                <w:sz w:val="24"/>
              </w:rPr>
              <w:t>报</w:t>
            </w:r>
            <w:r>
              <w:rPr>
                <w:rFonts w:ascii="仿宋" w:eastAsia="仿宋" w:hAnsi="仿宋" w:hint="eastAsia"/>
                <w:bCs/>
                <w:sz w:val="24"/>
              </w:rPr>
              <w:t>交易所备案；</w:t>
            </w:r>
          </w:p>
          <w:p w:rsidR="00101ED2" w:rsidRDefault="00101ED2" w:rsidP="002C6EFC">
            <w:pPr>
              <w:snapToGrid w:val="0"/>
              <w:rPr>
                <w:rFonts w:ascii="仿宋" w:eastAsia="仿宋" w:hAnsi="仿宋"/>
                <w:bCs/>
                <w:sz w:val="24"/>
                <w:szCs w:val="22"/>
              </w:rPr>
            </w:pP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27</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第七条（四）根据本办法，制定符合交易所要求的操作规程或细则；</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第七条（四）根据本办法，制定符合交易所要求的操作规程或细则</w:t>
            </w:r>
            <w:r>
              <w:rPr>
                <w:rFonts w:ascii="仿宋" w:eastAsia="仿宋" w:hAnsi="仿宋" w:hint="eastAsia"/>
                <w:b/>
                <w:bCs/>
                <w:sz w:val="24"/>
                <w:u w:val="single"/>
              </w:rPr>
              <w:t>等，并报交易所备案</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加强监管，确保交割仓库严格执行郑商所规定。</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28</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第七条（五）交割仓库期货管理人员接受交易所的交割业务培训；</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第七条（五）</w:t>
            </w:r>
            <w:r>
              <w:rPr>
                <w:rFonts w:ascii="仿宋" w:eastAsia="仿宋" w:hAnsi="仿宋" w:hint="eastAsia"/>
                <w:b/>
                <w:bCs/>
                <w:strike/>
                <w:sz w:val="24"/>
              </w:rPr>
              <w:t>交割仓库期货</w:t>
            </w:r>
            <w:r>
              <w:rPr>
                <w:rFonts w:ascii="仿宋" w:eastAsia="仿宋" w:hAnsi="仿宋" w:hint="eastAsia"/>
                <w:b/>
                <w:bCs/>
                <w:sz w:val="24"/>
                <w:u w:val="single"/>
              </w:rPr>
              <w:t>安排期货交割业务</w:t>
            </w:r>
            <w:r>
              <w:rPr>
                <w:rFonts w:ascii="仿宋" w:eastAsia="仿宋" w:hAnsi="仿宋" w:hint="eastAsia"/>
                <w:bCs/>
                <w:sz w:val="24"/>
              </w:rPr>
              <w:t>管理人员接受交易所的交割业务培训；</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29</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第八条 交割仓库放弃交割仓库资格，应当向交易所递交放弃交割仓库资格申请书，并经交易所审核批准。</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rPr>
            </w:pPr>
            <w:r>
              <w:rPr>
                <w:rFonts w:ascii="仿宋" w:eastAsia="仿宋" w:hAnsi="仿宋" w:hint="eastAsia"/>
                <w:bCs/>
                <w:sz w:val="24"/>
              </w:rPr>
              <w:t>第八条……</w:t>
            </w:r>
          </w:p>
          <w:p w:rsidR="00101ED2" w:rsidRDefault="00101ED2" w:rsidP="002C6EFC">
            <w:pPr>
              <w:snapToGrid w:val="0"/>
              <w:rPr>
                <w:rFonts w:ascii="仿宋" w:eastAsia="仿宋" w:hAnsi="仿宋"/>
                <w:bCs/>
                <w:sz w:val="24"/>
                <w:szCs w:val="22"/>
                <w:u w:val="single"/>
              </w:rPr>
            </w:pPr>
            <w:r>
              <w:rPr>
                <w:rFonts w:ascii="仿宋" w:eastAsia="仿宋" w:hAnsi="仿宋" w:hint="eastAsia"/>
                <w:b/>
                <w:bCs/>
                <w:sz w:val="24"/>
                <w:u w:val="single"/>
              </w:rPr>
              <w:t>根据市场发展或者风险防控需要，交易所有权暂停交割仓库全部或者部分交割业务，或者取消交割仓库资格。</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明确郑商所可以根据市场发展需要或风险防控需要采取相应的监管措施。</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30</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第九条 交割仓库放弃或被取消资格的，应当办理以下事</w:t>
            </w:r>
            <w:r>
              <w:rPr>
                <w:rFonts w:ascii="仿宋" w:eastAsia="仿宋" w:hAnsi="仿宋" w:hint="eastAsia"/>
                <w:bCs/>
                <w:sz w:val="24"/>
              </w:rPr>
              <w:lastRenderedPageBreak/>
              <w:t>项：……</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第九条 交割仓库</w:t>
            </w:r>
            <w:r>
              <w:rPr>
                <w:rFonts w:ascii="仿宋" w:eastAsia="仿宋" w:hAnsi="仿宋" w:hint="eastAsia"/>
                <w:b/>
                <w:bCs/>
                <w:strike/>
                <w:sz w:val="24"/>
              </w:rPr>
              <w:t>放弃或</w:t>
            </w:r>
            <w:r>
              <w:rPr>
                <w:rFonts w:ascii="仿宋" w:eastAsia="仿宋" w:hAnsi="仿宋" w:hint="eastAsia"/>
                <w:bCs/>
                <w:sz w:val="24"/>
              </w:rPr>
              <w:t>被取消资格的，应当办理以下事项：……</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31</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第九条（一）交割商品全部出库或全部变成现货；</w:t>
            </w:r>
          </w:p>
        </w:tc>
        <w:tc>
          <w:tcPr>
            <w:tcW w:w="1803" w:type="pct"/>
            <w:gridSpan w:val="2"/>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
                <w:bCs/>
                <w:sz w:val="24"/>
              </w:rPr>
            </w:pPr>
            <w:r>
              <w:rPr>
                <w:rFonts w:ascii="仿宋" w:eastAsia="仿宋" w:hAnsi="仿宋" w:hint="eastAsia"/>
                <w:bCs/>
                <w:sz w:val="24"/>
              </w:rPr>
              <w:t>第九条（一）</w:t>
            </w:r>
            <w:r>
              <w:rPr>
                <w:rFonts w:ascii="仿宋" w:eastAsia="仿宋" w:hAnsi="仿宋" w:hint="eastAsia"/>
                <w:b/>
                <w:bCs/>
                <w:sz w:val="24"/>
                <w:u w:val="single"/>
              </w:rPr>
              <w:t>将</w:t>
            </w:r>
            <w:r>
              <w:rPr>
                <w:rFonts w:ascii="仿宋" w:eastAsia="仿宋" w:hAnsi="仿宋" w:hint="eastAsia"/>
                <w:bCs/>
                <w:sz w:val="24"/>
              </w:rPr>
              <w:t>交割商品全部出库</w:t>
            </w:r>
            <w:r>
              <w:rPr>
                <w:rFonts w:ascii="仿宋" w:eastAsia="仿宋" w:hAnsi="仿宋" w:hint="eastAsia"/>
                <w:b/>
                <w:bCs/>
                <w:sz w:val="24"/>
                <w:u w:val="single"/>
              </w:rPr>
              <w:t>，</w:t>
            </w:r>
            <w:r>
              <w:rPr>
                <w:rFonts w:ascii="仿宋" w:eastAsia="仿宋" w:hAnsi="仿宋" w:hint="eastAsia"/>
                <w:bCs/>
                <w:sz w:val="24"/>
              </w:rPr>
              <w:t>或</w:t>
            </w:r>
            <w:r>
              <w:rPr>
                <w:rFonts w:ascii="仿宋" w:eastAsia="仿宋" w:hAnsi="仿宋" w:hint="eastAsia"/>
                <w:b/>
                <w:bCs/>
                <w:sz w:val="24"/>
                <w:u w:val="single"/>
              </w:rPr>
              <w:t>者</w:t>
            </w:r>
            <w:r>
              <w:rPr>
                <w:rFonts w:ascii="仿宋" w:eastAsia="仿宋" w:hAnsi="仿宋" w:hint="eastAsia"/>
                <w:bCs/>
                <w:sz w:val="24"/>
              </w:rPr>
              <w:t>全部</w:t>
            </w:r>
            <w:r>
              <w:rPr>
                <w:rFonts w:ascii="仿宋" w:eastAsia="仿宋" w:hAnsi="仿宋" w:hint="eastAsia"/>
                <w:b/>
                <w:bCs/>
                <w:strike/>
                <w:sz w:val="24"/>
              </w:rPr>
              <w:t>变成</w:t>
            </w:r>
            <w:r>
              <w:rPr>
                <w:rFonts w:ascii="仿宋" w:eastAsia="仿宋" w:hAnsi="仿宋" w:hint="eastAsia"/>
                <w:bCs/>
                <w:sz w:val="24"/>
              </w:rPr>
              <w:t>转为现货，</w:t>
            </w:r>
            <w:r>
              <w:rPr>
                <w:rFonts w:ascii="仿宋" w:eastAsia="仿宋" w:hAnsi="仿宋" w:hint="eastAsia"/>
                <w:b/>
                <w:bCs/>
                <w:sz w:val="24"/>
                <w:u w:val="single"/>
              </w:rPr>
              <w:t>或者按交易所认可的其他方式处理完毕</w:t>
            </w:r>
            <w:r>
              <w:rPr>
                <w:rFonts w:ascii="仿宋" w:eastAsia="仿宋" w:hAnsi="仿宋" w:hint="eastAsia"/>
                <w:bCs/>
                <w:sz w:val="24"/>
              </w:rPr>
              <w:t>；</w:t>
            </w:r>
          </w:p>
          <w:p w:rsidR="00101ED2" w:rsidRDefault="00101ED2" w:rsidP="002C6EFC">
            <w:pPr>
              <w:snapToGrid w:val="0"/>
              <w:rPr>
                <w:rFonts w:ascii="仿宋" w:eastAsia="仿宋" w:hAnsi="仿宋"/>
                <w:bCs/>
                <w:sz w:val="24"/>
                <w:szCs w:val="22"/>
              </w:rPr>
            </w:pP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考虑到后期工作中可能存在其他措施，此处留出操作余地。</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32</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第九条（三）结清与会员、客户的债权债务；</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第九条</w:t>
            </w:r>
            <w:r>
              <w:rPr>
                <w:rFonts w:ascii="仿宋" w:eastAsia="仿宋" w:hAnsi="仿宋" w:hint="eastAsia"/>
                <w:b/>
                <w:bCs/>
                <w:strike/>
                <w:sz w:val="24"/>
              </w:rPr>
              <w:t>（三）：结清与会员、客户的债权债务；</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实践中，郑商所无法监督和核实会员、客户与仓库之间现货贸易中的债权债务关系。</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33</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第九条（四）按交易所规定清退交割担保金；</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第九条（三）：按交易所规定</w:t>
            </w:r>
            <w:r>
              <w:rPr>
                <w:rFonts w:ascii="仿宋" w:eastAsia="仿宋" w:hAnsi="仿宋" w:hint="eastAsia"/>
                <w:b/>
                <w:bCs/>
                <w:sz w:val="24"/>
                <w:u w:val="single"/>
              </w:rPr>
              <w:t>申请</w:t>
            </w:r>
            <w:r>
              <w:rPr>
                <w:rFonts w:ascii="仿宋" w:eastAsia="仿宋" w:hAnsi="仿宋" w:hint="eastAsia"/>
                <w:bCs/>
                <w:sz w:val="24"/>
              </w:rPr>
              <w:t>清退交割担保金</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rPr>
          <w:trHeight w:val="644"/>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ED2" w:rsidRDefault="00101ED2" w:rsidP="002C6EFC">
            <w:pPr>
              <w:snapToGrid w:val="0"/>
              <w:jc w:val="center"/>
              <w:rPr>
                <w:rFonts w:ascii="黑体" w:eastAsia="黑体" w:hAnsi="黑体"/>
                <w:bCs/>
                <w:sz w:val="24"/>
                <w:szCs w:val="22"/>
              </w:rPr>
            </w:pPr>
            <w:r>
              <w:rPr>
                <w:rFonts w:ascii="黑体" w:eastAsia="黑体" w:hAnsi="黑体" w:hint="eastAsia"/>
                <w:bCs/>
                <w:sz w:val="24"/>
              </w:rPr>
              <w:t>第三章 权利和义务</w:t>
            </w:r>
          </w:p>
        </w:tc>
      </w:tr>
      <w:tr w:rsidR="00101ED2" w:rsidTr="002C6EFC">
        <w:trPr>
          <w:trHeight w:val="1917"/>
        </w:trPr>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34</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第十一条（四）经交易所核准，可以租用库房，存储交割商品；</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第十一条（四）经交易所核准，可以租用库房</w:t>
            </w:r>
            <w:r>
              <w:rPr>
                <w:rFonts w:ascii="仿宋" w:eastAsia="仿宋" w:hAnsi="仿宋" w:hint="eastAsia"/>
                <w:b/>
                <w:bCs/>
                <w:sz w:val="24"/>
                <w:u w:val="single"/>
              </w:rPr>
              <w:t>或场地</w:t>
            </w:r>
            <w:r>
              <w:rPr>
                <w:rFonts w:ascii="仿宋" w:eastAsia="仿宋" w:hAnsi="仿宋" w:hint="eastAsia"/>
                <w:bCs/>
                <w:sz w:val="24"/>
              </w:rPr>
              <w:t>，存储交割商品；</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rPr>
          <w:trHeight w:val="1917"/>
        </w:trPr>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35</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第十一条（五）交易所交割细则和交割仓库协议书规定的其他权利。</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第十一条（五）交易所交割细则</w:t>
            </w:r>
            <w:r>
              <w:rPr>
                <w:rFonts w:ascii="仿宋" w:eastAsia="仿宋" w:hAnsi="仿宋" w:hint="eastAsia"/>
                <w:bCs/>
                <w:strike/>
                <w:sz w:val="24"/>
              </w:rPr>
              <w:t>和</w:t>
            </w:r>
            <w:r>
              <w:rPr>
                <w:rFonts w:ascii="仿宋" w:eastAsia="仿宋" w:hAnsi="仿宋" w:hint="eastAsia"/>
                <w:b/>
                <w:bCs/>
                <w:sz w:val="24"/>
                <w:u w:val="single"/>
              </w:rPr>
              <w:t>、标准仓单管理办法和</w:t>
            </w:r>
            <w:r>
              <w:rPr>
                <w:rFonts w:ascii="仿宋" w:eastAsia="仿宋" w:hAnsi="仿宋" w:hint="eastAsia"/>
                <w:bCs/>
                <w:sz w:val="24"/>
              </w:rPr>
              <w:t>交割仓库协议书规定的其他权利。</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rPr>
          <w:trHeight w:val="1917"/>
        </w:trPr>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36</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widowControl/>
              <w:snapToGrid w:val="0"/>
              <w:jc w:val="left"/>
              <w:rPr>
                <w:rFonts w:ascii="Calibri" w:hAnsi="Calibri"/>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w:t>
            </w:r>
            <w:r>
              <w:rPr>
                <w:rFonts w:ascii="仿宋" w:eastAsia="仿宋" w:hAnsi="仿宋" w:hint="eastAsia"/>
                <w:b/>
                <w:bCs/>
                <w:sz w:val="24"/>
                <w:u w:val="single"/>
              </w:rPr>
              <w:t>（三）应当对库存交割商品全额投保财产险一切险等相关险种或按照交易所要求进行投保。</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进一步明确交割仓库投保险种。考虑到未来仓单投保方式存在不确定性，在此留出调整空间。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37</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w:t>
            </w:r>
            <w:r>
              <w:rPr>
                <w:rFonts w:ascii="仿宋" w:eastAsia="仿宋" w:hAnsi="仿宋" w:hint="eastAsia"/>
                <w:b/>
                <w:bCs/>
                <w:sz w:val="24"/>
                <w:u w:val="single"/>
              </w:rPr>
              <w:t>（四）根据交易所要求及时完成商品视频监控、消防安全等设施和设备的改造和升级；</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根据郑商所交割仓库科技监管总体规划和要求，新增该条款，与第五条（九）相呼应。</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38</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widowControl/>
              <w:snapToGrid w:val="0"/>
              <w:jc w:val="left"/>
              <w:rPr>
                <w:rFonts w:ascii="Calibri" w:hAnsi="Calibri"/>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w:t>
            </w:r>
            <w:r>
              <w:rPr>
                <w:rFonts w:ascii="仿宋" w:eastAsia="仿宋" w:hAnsi="仿宋" w:hint="eastAsia"/>
                <w:b/>
                <w:bCs/>
                <w:sz w:val="24"/>
                <w:u w:val="single"/>
              </w:rPr>
              <w:t>（五）根据交易所有关业务规则，办理期货交割商品的验收入库，建立电子台账等相关系统。</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根据郑商所交割仓库科技监管总体规划和要求，交割仓库应当建立相关电</w:t>
            </w:r>
            <w:r>
              <w:rPr>
                <w:rFonts w:ascii="仿宋" w:eastAsia="仿宋" w:hAnsi="仿宋" w:hint="eastAsia"/>
                <w:bCs/>
                <w:sz w:val="24"/>
              </w:rPr>
              <w:lastRenderedPageBreak/>
              <w:t>子系统，提升全流程电子化记录，与第五条（九）相呼应。</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39</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第十二条（五）接受交易所组织的年审</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第十二条（八）</w:t>
            </w:r>
            <w:r>
              <w:rPr>
                <w:rFonts w:ascii="仿宋" w:eastAsia="仿宋" w:hAnsi="仿宋" w:hint="eastAsia"/>
                <w:b/>
                <w:bCs/>
                <w:strike/>
                <w:sz w:val="24"/>
              </w:rPr>
              <w:t>接受</w:t>
            </w:r>
            <w:r>
              <w:rPr>
                <w:rFonts w:ascii="仿宋" w:eastAsia="仿宋" w:hAnsi="仿宋" w:hint="eastAsia"/>
                <w:b/>
                <w:bCs/>
                <w:sz w:val="24"/>
              </w:rPr>
              <w:t>参加</w:t>
            </w:r>
            <w:r>
              <w:rPr>
                <w:rFonts w:ascii="仿宋" w:eastAsia="仿宋" w:hAnsi="仿宋" w:hint="eastAsia"/>
                <w:bCs/>
                <w:sz w:val="24"/>
              </w:rPr>
              <w:t>交易所组织的年审</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40</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第十二条（七）配合并监督指定质检机构取样；</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第十二条（十）配合</w:t>
            </w:r>
            <w:r>
              <w:rPr>
                <w:rFonts w:ascii="仿宋" w:eastAsia="仿宋" w:hAnsi="仿宋" w:hint="eastAsia"/>
                <w:b/>
                <w:bCs/>
                <w:strike/>
                <w:sz w:val="24"/>
              </w:rPr>
              <w:t>并监督</w:t>
            </w:r>
            <w:r>
              <w:rPr>
                <w:rFonts w:ascii="仿宋" w:eastAsia="仿宋" w:hAnsi="仿宋" w:hint="eastAsia"/>
                <w:bCs/>
                <w:sz w:val="24"/>
              </w:rPr>
              <w:t>指定质检机构取样</w:t>
            </w:r>
            <w:r>
              <w:rPr>
                <w:rFonts w:ascii="仿宋" w:eastAsia="仿宋" w:hAnsi="仿宋" w:hint="eastAsia"/>
                <w:b/>
                <w:bCs/>
                <w:sz w:val="24"/>
                <w:u w:val="single"/>
              </w:rPr>
              <w:t>及现场检验等工作</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实践中，大部分交割仓库不具有监督质检机构的能力，原条款在大部分品种的仓库上不具有可行性。部分品种存在在库检验项目，需要交割仓库积极配合。</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41</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八）变更单位名称、法定代表人、注册资本、股东或股权结构、仓储场地等，出现可能危及交割商品安全、法律诉讼等问题，及时向交易所通报；发生交割仓库土地或房产质押、对外担保等事项，事先向交易所通报；</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第十二条（十一）变更单位名称、法定代表人</w:t>
            </w:r>
            <w:r>
              <w:rPr>
                <w:rFonts w:ascii="仿宋" w:eastAsia="仿宋" w:hAnsi="仿宋" w:hint="eastAsia"/>
                <w:b/>
                <w:bCs/>
                <w:sz w:val="24"/>
                <w:u w:val="single"/>
              </w:rPr>
              <w:t>或主要负责人</w:t>
            </w:r>
            <w:r>
              <w:rPr>
                <w:rFonts w:ascii="仿宋" w:eastAsia="仿宋" w:hAnsi="仿宋" w:hint="eastAsia"/>
                <w:bCs/>
                <w:sz w:val="24"/>
              </w:rPr>
              <w:t>、注册资本、</w:t>
            </w:r>
            <w:r>
              <w:rPr>
                <w:rFonts w:ascii="仿宋" w:eastAsia="仿宋" w:hAnsi="仿宋" w:hint="eastAsia"/>
                <w:b/>
                <w:bCs/>
                <w:sz w:val="24"/>
                <w:u w:val="single"/>
              </w:rPr>
              <w:t>注册资本实缴金额、</w:t>
            </w:r>
            <w:r>
              <w:rPr>
                <w:rFonts w:ascii="仿宋" w:eastAsia="仿宋" w:hAnsi="仿宋" w:hint="eastAsia"/>
                <w:bCs/>
                <w:sz w:val="24"/>
              </w:rPr>
              <w:t>股东或股权结构、仓储场地、</w:t>
            </w:r>
            <w:r>
              <w:rPr>
                <w:rFonts w:ascii="仿宋" w:eastAsia="仿宋" w:hAnsi="仿宋" w:hint="eastAsia"/>
                <w:b/>
                <w:bCs/>
                <w:sz w:val="24"/>
                <w:u w:val="single"/>
              </w:rPr>
              <w:t>经营场所</w:t>
            </w:r>
            <w:r>
              <w:rPr>
                <w:rFonts w:ascii="仿宋" w:eastAsia="仿宋" w:hAnsi="仿宋" w:hint="eastAsia"/>
                <w:bCs/>
                <w:sz w:val="24"/>
              </w:rPr>
              <w:t>等，出现可能危及交割商品安全、法律诉讼、</w:t>
            </w:r>
            <w:r>
              <w:rPr>
                <w:rFonts w:ascii="仿宋" w:eastAsia="仿宋" w:hAnsi="仿宋" w:hint="eastAsia"/>
                <w:b/>
                <w:bCs/>
                <w:sz w:val="24"/>
                <w:u w:val="single"/>
              </w:rPr>
              <w:t>仲裁、纠纷</w:t>
            </w:r>
            <w:r>
              <w:rPr>
                <w:rFonts w:ascii="仿宋" w:eastAsia="仿宋" w:hAnsi="仿宋" w:hint="eastAsia"/>
                <w:bCs/>
                <w:sz w:val="24"/>
              </w:rPr>
              <w:t>等问题，</w:t>
            </w:r>
            <w:r>
              <w:rPr>
                <w:rFonts w:ascii="仿宋" w:eastAsia="仿宋" w:hAnsi="仿宋" w:hint="eastAsia"/>
                <w:b/>
                <w:bCs/>
                <w:strike/>
                <w:sz w:val="24"/>
              </w:rPr>
              <w:t>及时向交易所通报；</w:t>
            </w:r>
            <w:r>
              <w:rPr>
                <w:rFonts w:ascii="仿宋" w:eastAsia="仿宋" w:hAnsi="仿宋" w:hint="eastAsia"/>
                <w:bCs/>
                <w:sz w:val="24"/>
              </w:rPr>
              <w:t>或者发生交割仓库土地或房产</w:t>
            </w:r>
            <w:r>
              <w:rPr>
                <w:rFonts w:ascii="仿宋" w:eastAsia="仿宋" w:hAnsi="仿宋" w:hint="eastAsia"/>
                <w:b/>
                <w:bCs/>
                <w:strike/>
                <w:sz w:val="24"/>
              </w:rPr>
              <w:t>质</w:t>
            </w:r>
            <w:r>
              <w:rPr>
                <w:rFonts w:ascii="仿宋" w:eastAsia="仿宋" w:hAnsi="仿宋" w:hint="eastAsia"/>
                <w:b/>
                <w:bCs/>
                <w:sz w:val="24"/>
              </w:rPr>
              <w:t>抵</w:t>
            </w:r>
            <w:r>
              <w:rPr>
                <w:rFonts w:ascii="仿宋" w:eastAsia="仿宋" w:hAnsi="仿宋" w:hint="eastAsia"/>
                <w:bCs/>
                <w:sz w:val="24"/>
              </w:rPr>
              <w:t>押、对外担保等事项，</w:t>
            </w:r>
            <w:r>
              <w:rPr>
                <w:rFonts w:ascii="仿宋" w:eastAsia="仿宋" w:hAnsi="仿宋" w:hint="eastAsia"/>
                <w:b/>
                <w:bCs/>
                <w:strike/>
                <w:sz w:val="24"/>
              </w:rPr>
              <w:t>事先</w:t>
            </w:r>
            <w:r>
              <w:rPr>
                <w:rFonts w:ascii="仿宋" w:eastAsia="仿宋" w:hAnsi="仿宋" w:hint="eastAsia"/>
                <w:bCs/>
                <w:sz w:val="24"/>
              </w:rPr>
              <w:t>及时向交易所通报；</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新增可能影响交割仓库日常经营和偿债能力的事项，明确交割仓库的告知义务。</w:t>
            </w:r>
          </w:p>
        </w:tc>
      </w:tr>
      <w:tr w:rsidR="00101ED2" w:rsidTr="002C6EFC">
        <w:trPr>
          <w:trHeight w:val="573"/>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ED2" w:rsidRDefault="00101ED2" w:rsidP="002C6EFC">
            <w:pPr>
              <w:snapToGrid w:val="0"/>
              <w:jc w:val="center"/>
              <w:rPr>
                <w:rFonts w:ascii="黑体" w:eastAsia="黑体" w:hAnsi="黑体"/>
                <w:bCs/>
                <w:sz w:val="24"/>
                <w:szCs w:val="22"/>
              </w:rPr>
            </w:pPr>
            <w:r>
              <w:rPr>
                <w:rFonts w:ascii="黑体" w:eastAsia="黑体" w:hAnsi="黑体" w:hint="eastAsia"/>
                <w:bCs/>
                <w:sz w:val="24"/>
              </w:rPr>
              <w:t>第四章 日常业务</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42</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第十六条 交割仓库应当对交割商品进行挂牌管理，挂牌标识应符合交易所规定。</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第十六条 交割仓库应当对交割商品进行</w:t>
            </w:r>
            <w:r>
              <w:rPr>
                <w:rFonts w:ascii="仿宋" w:eastAsia="仿宋" w:hAnsi="仿宋" w:hint="eastAsia"/>
                <w:b/>
                <w:bCs/>
                <w:strike/>
                <w:sz w:val="24"/>
              </w:rPr>
              <w:t>挂牌</w:t>
            </w:r>
            <w:r>
              <w:rPr>
                <w:rFonts w:ascii="仿宋" w:eastAsia="仿宋" w:hAnsi="仿宋" w:hint="eastAsia"/>
                <w:b/>
                <w:bCs/>
                <w:sz w:val="24"/>
              </w:rPr>
              <w:t>标识</w:t>
            </w:r>
            <w:r>
              <w:rPr>
                <w:rFonts w:ascii="仿宋" w:eastAsia="仿宋" w:hAnsi="仿宋" w:hint="eastAsia"/>
                <w:bCs/>
                <w:sz w:val="24"/>
              </w:rPr>
              <w:t>管理，</w:t>
            </w:r>
            <w:r>
              <w:rPr>
                <w:rFonts w:ascii="仿宋" w:eastAsia="仿宋" w:hAnsi="仿宋" w:hint="eastAsia"/>
                <w:b/>
                <w:bCs/>
                <w:strike/>
                <w:sz w:val="24"/>
              </w:rPr>
              <w:t>挂牌</w:t>
            </w:r>
            <w:r>
              <w:rPr>
                <w:rFonts w:ascii="仿宋" w:eastAsia="仿宋" w:hAnsi="仿宋" w:hint="eastAsia"/>
                <w:bCs/>
                <w:sz w:val="24"/>
              </w:rPr>
              <w:t>标识应符合交易所规定。</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43</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第十七条 交割仓库应当按《期货交易管理条例》和交易所的有关规定妥善保存检验结果。商品验收合格、入库完毕起24小时内向交易所通报。</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第十七条 交割仓库应当按</w:t>
            </w:r>
            <w:r>
              <w:rPr>
                <w:rFonts w:ascii="仿宋" w:eastAsia="仿宋" w:hAnsi="仿宋" w:hint="eastAsia"/>
                <w:b/>
                <w:bCs/>
                <w:strike/>
                <w:sz w:val="24"/>
              </w:rPr>
              <w:t>《期货交易管理条例》和</w:t>
            </w:r>
            <w:r>
              <w:rPr>
                <w:rFonts w:ascii="仿宋" w:eastAsia="仿宋" w:hAnsi="仿宋" w:hint="eastAsia"/>
                <w:bCs/>
                <w:sz w:val="24"/>
              </w:rPr>
              <w:t>交易所的有关规定妥善保存检验结果。商品验收合格、入库完毕</w:t>
            </w:r>
            <w:r>
              <w:rPr>
                <w:rFonts w:ascii="仿宋" w:eastAsia="仿宋" w:hAnsi="仿宋" w:hint="eastAsia"/>
                <w:b/>
                <w:bCs/>
                <w:sz w:val="24"/>
                <w:u w:val="single"/>
              </w:rPr>
              <w:t>应当及时通过交易所仓库管理系统录入相关数据</w:t>
            </w:r>
            <w:r>
              <w:rPr>
                <w:rFonts w:ascii="仿宋" w:eastAsia="仿宋" w:hAnsi="仿宋" w:hint="eastAsia"/>
                <w:bCs/>
                <w:strike/>
                <w:sz w:val="24"/>
              </w:rPr>
              <w:t>起24小时内向交易所通报</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原业务流程与当前的实际操作有较大出入，更新为现行的业务办理流程。</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44</w:t>
            </w: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第十八条 未持有《提货通知单》的客</w:t>
            </w:r>
            <w:r>
              <w:rPr>
                <w:rFonts w:ascii="仿宋" w:eastAsia="仿宋" w:hAnsi="仿宋" w:hint="eastAsia"/>
                <w:bCs/>
                <w:sz w:val="24"/>
              </w:rPr>
              <w:lastRenderedPageBreak/>
              <w:t>户，不得进入库内查看储存的交割商品。小麦、菜籽油客户可以到交割仓库的样品室查看存储货物对应的样品。</w:t>
            </w:r>
          </w:p>
          <w:p w:rsidR="00101ED2" w:rsidRDefault="00101ED2" w:rsidP="002C6EFC">
            <w:pPr>
              <w:snapToGrid w:val="0"/>
              <w:ind w:firstLineChars="100" w:firstLine="240"/>
              <w:rPr>
                <w:rFonts w:ascii="仿宋" w:eastAsia="仿宋" w:hAnsi="仿宋" w:hint="eastAsia"/>
                <w:bCs/>
                <w:sz w:val="24"/>
              </w:rPr>
            </w:pPr>
            <w:r>
              <w:rPr>
                <w:rFonts w:ascii="仿宋" w:eastAsia="仿宋" w:hAnsi="仿宋" w:hint="eastAsia"/>
                <w:bCs/>
                <w:sz w:val="24"/>
              </w:rPr>
              <w:t>样品室的管理应符合交易所规定及要求。交易所不定期对样品保管情况进行抽查。</w:t>
            </w:r>
          </w:p>
          <w:p w:rsidR="00101ED2" w:rsidRDefault="00101ED2" w:rsidP="002C6EFC">
            <w:pPr>
              <w:snapToGrid w:val="0"/>
              <w:rPr>
                <w:rFonts w:ascii="仿宋" w:eastAsia="仿宋" w:hAnsi="仿宋"/>
                <w:bCs/>
                <w:sz w:val="24"/>
                <w:szCs w:val="22"/>
              </w:rPr>
            </w:pP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
                <w:bCs/>
                <w:strike/>
                <w:sz w:val="24"/>
              </w:rPr>
            </w:pPr>
            <w:r>
              <w:rPr>
                <w:rFonts w:ascii="仿宋" w:eastAsia="仿宋" w:hAnsi="仿宋" w:hint="eastAsia"/>
                <w:bCs/>
                <w:sz w:val="24"/>
              </w:rPr>
              <w:lastRenderedPageBreak/>
              <w:t xml:space="preserve">第十八条 </w:t>
            </w:r>
            <w:r>
              <w:rPr>
                <w:rFonts w:ascii="仿宋" w:eastAsia="仿宋" w:hAnsi="仿宋" w:hint="eastAsia"/>
                <w:b/>
                <w:bCs/>
                <w:sz w:val="24"/>
                <w:u w:val="single"/>
              </w:rPr>
              <w:t>对</w:t>
            </w:r>
            <w:r>
              <w:rPr>
                <w:rFonts w:ascii="仿宋" w:eastAsia="仿宋" w:hAnsi="仿宋" w:hint="eastAsia"/>
                <w:bCs/>
                <w:sz w:val="24"/>
              </w:rPr>
              <w:t>未持有《提货通知单》的客户，交割仓库</w:t>
            </w:r>
            <w:r>
              <w:rPr>
                <w:rFonts w:ascii="仿宋" w:eastAsia="仿宋" w:hAnsi="仿宋" w:hint="eastAsia"/>
                <w:bCs/>
                <w:sz w:val="24"/>
              </w:rPr>
              <w:lastRenderedPageBreak/>
              <w:t>应当拒绝其</w:t>
            </w:r>
            <w:r>
              <w:rPr>
                <w:rFonts w:ascii="仿宋" w:eastAsia="仿宋" w:hAnsi="仿宋" w:hint="eastAsia"/>
                <w:b/>
                <w:bCs/>
                <w:strike/>
                <w:sz w:val="24"/>
              </w:rPr>
              <w:t>不得</w:t>
            </w:r>
            <w:r>
              <w:rPr>
                <w:rFonts w:ascii="仿宋" w:eastAsia="仿宋" w:hAnsi="仿宋" w:hint="eastAsia"/>
                <w:bCs/>
                <w:sz w:val="24"/>
              </w:rPr>
              <w:t>进入库内查看储存的交割商品。</w:t>
            </w:r>
            <w:r>
              <w:rPr>
                <w:rFonts w:ascii="仿宋" w:eastAsia="仿宋" w:hAnsi="仿宋" w:hint="eastAsia"/>
                <w:b/>
                <w:bCs/>
                <w:strike/>
                <w:sz w:val="24"/>
              </w:rPr>
              <w:t>小麦、菜籽油客户可以到交割仓库的样品室查看存储货物对应的样品。</w:t>
            </w:r>
          </w:p>
          <w:p w:rsidR="00101ED2" w:rsidRDefault="00101ED2" w:rsidP="002C6EFC">
            <w:pPr>
              <w:snapToGrid w:val="0"/>
              <w:ind w:firstLineChars="100" w:firstLine="241"/>
              <w:rPr>
                <w:rFonts w:ascii="仿宋" w:eastAsia="仿宋" w:hAnsi="仿宋"/>
                <w:b/>
                <w:bCs/>
                <w:strike/>
                <w:sz w:val="24"/>
                <w:szCs w:val="22"/>
              </w:rPr>
            </w:pPr>
            <w:r>
              <w:rPr>
                <w:rFonts w:ascii="仿宋" w:eastAsia="仿宋" w:hAnsi="仿宋" w:hint="eastAsia"/>
                <w:b/>
                <w:bCs/>
                <w:strike/>
                <w:sz w:val="24"/>
              </w:rPr>
              <w:t>样品室的管理应符合交易所规定及要求。交易所不定期对样品保管情况进行抽查。</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删除内容不再适用。</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45</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cs="宋体"/>
                <w:dstrike/>
                <w:color w:val="333333"/>
                <w:kern w:val="0"/>
                <w:sz w:val="28"/>
                <w:szCs w:val="28"/>
              </w:rPr>
            </w:pPr>
            <w:r>
              <w:rPr>
                <w:rFonts w:ascii="仿宋" w:eastAsia="仿宋" w:hAnsi="仿宋" w:hint="eastAsia"/>
                <w:bCs/>
                <w:sz w:val="24"/>
              </w:rPr>
              <w:t>第十九条 交割仓库对交割商品的存储或堆码方法应符合交易所提出的技术规范要求。未经交易所同意，交割仓库不得擅自改变交割商品的存储或码垛方法。</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第十九条 交割仓库对交割商品的存储或堆码</w:t>
            </w:r>
            <w:r>
              <w:rPr>
                <w:rFonts w:ascii="仿宋" w:eastAsia="仿宋" w:hAnsi="仿宋" w:hint="eastAsia"/>
                <w:b/>
                <w:bCs/>
                <w:sz w:val="24"/>
                <w:u w:val="single"/>
              </w:rPr>
              <w:t>方式、</w:t>
            </w:r>
            <w:r>
              <w:rPr>
                <w:rFonts w:ascii="仿宋" w:eastAsia="仿宋" w:hAnsi="仿宋" w:hint="eastAsia"/>
                <w:bCs/>
                <w:sz w:val="24"/>
              </w:rPr>
              <w:t>方法</w:t>
            </w:r>
            <w:r>
              <w:rPr>
                <w:rFonts w:ascii="仿宋" w:eastAsia="仿宋" w:hAnsi="仿宋" w:hint="eastAsia"/>
                <w:b/>
                <w:bCs/>
                <w:sz w:val="24"/>
                <w:u w:val="single"/>
              </w:rPr>
              <w:t>等</w:t>
            </w:r>
            <w:r>
              <w:rPr>
                <w:rFonts w:ascii="仿宋" w:eastAsia="仿宋" w:hAnsi="仿宋" w:hint="eastAsia"/>
                <w:bCs/>
                <w:sz w:val="24"/>
              </w:rPr>
              <w:t>应</w:t>
            </w:r>
            <w:r>
              <w:rPr>
                <w:rFonts w:ascii="仿宋" w:eastAsia="仿宋" w:hAnsi="仿宋" w:hint="eastAsia"/>
                <w:b/>
                <w:bCs/>
                <w:strike/>
                <w:sz w:val="24"/>
              </w:rPr>
              <w:t>符合交易所提出的</w:t>
            </w:r>
            <w:r>
              <w:rPr>
                <w:rFonts w:ascii="仿宋" w:eastAsia="仿宋" w:hAnsi="仿宋" w:hint="eastAsia"/>
                <w:b/>
                <w:bCs/>
                <w:sz w:val="24"/>
                <w:u w:val="single"/>
              </w:rPr>
              <w:t>当符合相关技术规范要求</w:t>
            </w:r>
            <w:r>
              <w:rPr>
                <w:rFonts w:ascii="仿宋" w:eastAsia="仿宋" w:hAnsi="仿宋" w:hint="eastAsia"/>
                <w:bCs/>
                <w:sz w:val="24"/>
              </w:rPr>
              <w:t>。</w:t>
            </w:r>
            <w:r>
              <w:rPr>
                <w:rFonts w:ascii="仿宋" w:eastAsia="仿宋" w:hAnsi="仿宋" w:hint="eastAsia"/>
                <w:b/>
                <w:bCs/>
                <w:strike/>
                <w:sz w:val="24"/>
              </w:rPr>
              <w:t>未经交易所同意，交割仓库不得擅自改变交割商品的存储或码垛方法。</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交割商品的存储或堆垛方式通常有国家和地方规定，或有国家标准或行业标准规定，郑商所无需再次进行规定。</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46</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第二十二条 未经交易所同意，交割仓库对交割商品存放仓位或垛位不得移动；擅自移动造成的损失，由交割仓库承担全部责任</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第二十二条 未经交易所同意，交割仓库不得移动交割商品存放仓位或垛位；</w:t>
            </w:r>
            <w:r>
              <w:rPr>
                <w:rFonts w:ascii="仿宋" w:eastAsia="仿宋" w:hAnsi="仿宋" w:hint="eastAsia"/>
                <w:b/>
                <w:bCs/>
                <w:sz w:val="24"/>
                <w:u w:val="single"/>
              </w:rPr>
              <w:t>擅自移动的，交易所有权追究其违规责任</w:t>
            </w:r>
            <w:r>
              <w:rPr>
                <w:rFonts w:ascii="仿宋" w:eastAsia="仿宋" w:hAnsi="仿宋" w:hint="eastAsia"/>
                <w:bCs/>
                <w:sz w:val="24"/>
                <w:u w:val="single"/>
              </w:rPr>
              <w:t>；</w:t>
            </w:r>
            <w:r>
              <w:rPr>
                <w:rFonts w:ascii="仿宋" w:eastAsia="仿宋" w:hAnsi="仿宋" w:hint="eastAsia"/>
                <w:bCs/>
                <w:sz w:val="24"/>
              </w:rPr>
              <w:t>擅自移动造成损失的，交割仓库应当承担全部责任。</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明确严禁交割仓库未经郑商所允许移动货位。</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47</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第二十三条（一）复核《提货通知单》是否有效；</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第二十三条（一）</w:t>
            </w:r>
            <w:r>
              <w:rPr>
                <w:rFonts w:ascii="仿宋" w:eastAsia="仿宋" w:hAnsi="仿宋" w:hint="eastAsia"/>
                <w:b/>
                <w:bCs/>
                <w:strike/>
                <w:sz w:val="24"/>
              </w:rPr>
              <w:t>复核《提货通知单》是否有效</w:t>
            </w:r>
            <w:r>
              <w:rPr>
                <w:rFonts w:ascii="仿宋" w:eastAsia="仿宋" w:hAnsi="仿宋" w:hint="eastAsia"/>
                <w:bCs/>
                <w:sz w:val="24"/>
              </w:rPr>
              <w:t>验证提货密码、提货人身份证件、委托书等信息是否正确、有效；</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原规定与目前在电子化仓单系统中的操作不符，调整相关表述。</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48</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第二十三条第二款 核对无误后，尽快办理出库。</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第二十三条第二款</w:t>
            </w:r>
            <w:r>
              <w:rPr>
                <w:rFonts w:ascii="仿宋" w:eastAsia="仿宋" w:hAnsi="仿宋" w:hint="eastAsia"/>
                <w:b/>
                <w:bCs/>
                <w:strike/>
                <w:sz w:val="24"/>
              </w:rPr>
              <w:t>核对无误后，尽快办理出库</w:t>
            </w:r>
            <w:r>
              <w:rPr>
                <w:rFonts w:ascii="仿宋" w:eastAsia="仿宋" w:hAnsi="仿宋" w:hint="eastAsia"/>
                <w:b/>
                <w:bCs/>
                <w:sz w:val="24"/>
              </w:rPr>
              <w:t>交割仓库应当积极配合货主发运商品，无正当理由不得延迟发货</w:t>
            </w:r>
            <w:r>
              <w:rPr>
                <w:rFonts w:ascii="仿宋" w:eastAsia="仿宋" w:hAnsi="仿宋" w:hint="eastAsia"/>
                <w:bCs/>
                <w:sz w:val="24"/>
              </w:rPr>
              <w:t>。</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进一步明确交割仓库义务，与仓库协议书中的表述保持一致。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49</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第二十三条第三款 交割仓库应当及时向交易所通报商品发运的进度、仓号、货位的变动情况及发运方向等。发运结</w:t>
            </w:r>
            <w:r>
              <w:rPr>
                <w:rFonts w:ascii="仿宋" w:eastAsia="仿宋" w:hAnsi="仿宋" w:hint="eastAsia"/>
                <w:bCs/>
                <w:sz w:val="24"/>
              </w:rPr>
              <w:lastRenderedPageBreak/>
              <w:t>束后，根据要求向交易所报送相关出库手续。</w:t>
            </w:r>
          </w:p>
        </w:tc>
        <w:tc>
          <w:tcPr>
            <w:tcW w:w="1803"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第二十三条第三款 交割仓库应当</w:t>
            </w:r>
            <w:r>
              <w:rPr>
                <w:rFonts w:ascii="仿宋" w:eastAsia="仿宋" w:hAnsi="仿宋" w:hint="eastAsia"/>
                <w:b/>
                <w:bCs/>
                <w:strike/>
                <w:sz w:val="24"/>
              </w:rPr>
              <w:t>及时向交易所通报商品</w:t>
            </w:r>
            <w:r>
              <w:rPr>
                <w:rFonts w:ascii="仿宋" w:eastAsia="仿宋" w:hAnsi="仿宋" w:hint="eastAsia"/>
                <w:b/>
                <w:bCs/>
                <w:sz w:val="24"/>
              </w:rPr>
              <w:t>通过交易所要求的系统或渠道报送商品</w:t>
            </w:r>
            <w:r>
              <w:rPr>
                <w:rFonts w:ascii="仿宋" w:eastAsia="仿宋" w:hAnsi="仿宋" w:hint="eastAsia"/>
                <w:bCs/>
                <w:sz w:val="24"/>
              </w:rPr>
              <w:t>发运的进度、仓号、货位的变动情况及发运方向等。</w:t>
            </w:r>
            <w:r>
              <w:rPr>
                <w:rFonts w:ascii="仿宋" w:eastAsia="仿宋" w:hAnsi="仿宋" w:hint="eastAsia"/>
                <w:b/>
                <w:bCs/>
                <w:strike/>
                <w:sz w:val="24"/>
              </w:rPr>
              <w:t>发运结束</w:t>
            </w:r>
            <w:r>
              <w:rPr>
                <w:rFonts w:ascii="仿宋" w:eastAsia="仿宋" w:hAnsi="仿宋" w:hint="eastAsia"/>
                <w:b/>
                <w:bCs/>
                <w:strike/>
                <w:sz w:val="24"/>
              </w:rPr>
              <w:lastRenderedPageBreak/>
              <w:t>后，根据要求向交易所报送相关出库手续。</w:t>
            </w:r>
          </w:p>
        </w:tc>
        <w:tc>
          <w:tcPr>
            <w:tcW w:w="1296"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相关出库手续已在系统中自动生成，删除内容不再适用。</w:t>
            </w:r>
          </w:p>
        </w:tc>
      </w:tr>
      <w:tr w:rsidR="00101ED2" w:rsidTr="002C6EFC">
        <w:trPr>
          <w:trHeight w:val="517"/>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01ED2" w:rsidRDefault="00101ED2" w:rsidP="002C6EFC">
            <w:pPr>
              <w:snapToGrid w:val="0"/>
              <w:jc w:val="center"/>
              <w:rPr>
                <w:rFonts w:ascii="黑体" w:eastAsia="黑体" w:hAnsi="黑体"/>
                <w:sz w:val="32"/>
                <w:szCs w:val="32"/>
              </w:rPr>
            </w:pPr>
            <w:r>
              <w:rPr>
                <w:rFonts w:ascii="黑体" w:eastAsia="黑体" w:hAnsi="黑体" w:hint="eastAsia"/>
                <w:bCs/>
                <w:sz w:val="24"/>
              </w:rPr>
              <w:lastRenderedPageBreak/>
              <w:t>第五章 监督管理</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50</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第二十四条 交割仓库应当对库存交割商品全额投保财产险。</w:t>
            </w:r>
          </w:p>
        </w:tc>
        <w:tc>
          <w:tcPr>
            <w:tcW w:w="1757"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
                <w:bCs/>
                <w:strike/>
                <w:sz w:val="24"/>
                <w:szCs w:val="22"/>
              </w:rPr>
            </w:pPr>
            <w:r>
              <w:rPr>
                <w:rFonts w:ascii="仿宋" w:eastAsia="仿宋" w:hAnsi="仿宋" w:hint="eastAsia"/>
                <w:b/>
                <w:bCs/>
                <w:strike/>
                <w:sz w:val="24"/>
              </w:rPr>
              <w:t>第二十四条 交割仓库应当对库存交割商品全额投保财产险。</w:t>
            </w:r>
          </w:p>
        </w:tc>
        <w:tc>
          <w:tcPr>
            <w:tcW w:w="1342"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条文内容调整至第十二条（三）。</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51</w:t>
            </w: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第二十五条 交割仓库应当对期货交割商品单独设账管理。</w:t>
            </w:r>
          </w:p>
        </w:tc>
        <w:tc>
          <w:tcPr>
            <w:tcW w:w="1757"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
                <w:bCs/>
                <w:strike/>
                <w:sz w:val="24"/>
                <w:szCs w:val="22"/>
              </w:rPr>
            </w:pPr>
            <w:r>
              <w:rPr>
                <w:rFonts w:ascii="仿宋" w:eastAsia="仿宋" w:hAnsi="仿宋" w:hint="eastAsia"/>
                <w:b/>
                <w:bCs/>
                <w:strike/>
                <w:sz w:val="24"/>
              </w:rPr>
              <w:t>第二十五条 交割仓库应当对期货交割商品单独设账管理。</w:t>
            </w:r>
          </w:p>
        </w:tc>
        <w:tc>
          <w:tcPr>
            <w:tcW w:w="1342"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条文内容调整至第十二条（五）。</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widowControl/>
              <w:snapToGrid w:val="0"/>
              <w:jc w:val="left"/>
              <w:rPr>
                <w:rFonts w:ascii="Calibri" w:hAnsi="Calibri"/>
                <w:szCs w:val="22"/>
              </w:rPr>
            </w:pP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第二十六条 交易所对交割仓库实行抽查和年审制度，并可要求交割仓库自查。</w:t>
            </w:r>
          </w:p>
          <w:p w:rsidR="00101ED2" w:rsidRDefault="00101ED2" w:rsidP="002C6EFC">
            <w:pPr>
              <w:snapToGrid w:val="0"/>
              <w:ind w:firstLineChars="200" w:firstLine="480"/>
              <w:rPr>
                <w:rFonts w:ascii="仿宋" w:eastAsia="仿宋" w:hAnsi="仿宋" w:hint="eastAsia"/>
                <w:bCs/>
                <w:sz w:val="24"/>
              </w:rPr>
            </w:pPr>
            <w:r>
              <w:rPr>
                <w:rFonts w:ascii="仿宋" w:eastAsia="仿宋" w:hAnsi="仿宋" w:hint="eastAsia"/>
                <w:bCs/>
                <w:sz w:val="24"/>
              </w:rPr>
              <w:t>在自查、抽查和年审过程中，发现交割仓库有违规等行为的，交易所可采取限期整改、暂停入库业务、取消交割仓库资格等措施。由此产生的损失由交割仓库承担。</w:t>
            </w:r>
          </w:p>
          <w:p w:rsidR="00101ED2" w:rsidRDefault="00101ED2" w:rsidP="002C6EFC">
            <w:pPr>
              <w:snapToGrid w:val="0"/>
              <w:rPr>
                <w:rFonts w:ascii="仿宋" w:eastAsia="仿宋" w:hAnsi="仿宋"/>
                <w:bCs/>
                <w:sz w:val="24"/>
                <w:szCs w:val="22"/>
              </w:rPr>
            </w:pPr>
          </w:p>
        </w:tc>
        <w:tc>
          <w:tcPr>
            <w:tcW w:w="1757"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
                <w:bCs/>
                <w:strike/>
                <w:sz w:val="24"/>
              </w:rPr>
            </w:pPr>
            <w:r>
              <w:rPr>
                <w:rFonts w:ascii="仿宋" w:eastAsia="仿宋" w:hAnsi="仿宋" w:hint="eastAsia"/>
                <w:bCs/>
                <w:sz w:val="24"/>
              </w:rPr>
              <w:t xml:space="preserve">第二十四条 </w:t>
            </w:r>
            <w:r>
              <w:rPr>
                <w:rFonts w:ascii="仿宋" w:eastAsia="仿宋" w:hAnsi="仿宋" w:hint="eastAsia"/>
                <w:b/>
                <w:bCs/>
                <w:strike/>
                <w:sz w:val="24"/>
              </w:rPr>
              <w:t>交易所对交割仓库实行抽查和年审制度，并可要求交割仓库自查。</w:t>
            </w:r>
          </w:p>
          <w:p w:rsidR="00101ED2" w:rsidRDefault="00101ED2" w:rsidP="002C6EFC">
            <w:pPr>
              <w:snapToGrid w:val="0"/>
              <w:ind w:firstLineChars="200" w:firstLine="482"/>
              <w:rPr>
                <w:rFonts w:ascii="仿宋" w:eastAsia="仿宋" w:hAnsi="仿宋" w:hint="eastAsia"/>
                <w:b/>
                <w:bCs/>
                <w:strike/>
                <w:sz w:val="24"/>
              </w:rPr>
            </w:pPr>
            <w:r>
              <w:rPr>
                <w:rFonts w:ascii="仿宋" w:eastAsia="仿宋" w:hAnsi="仿宋" w:hint="eastAsia"/>
                <w:b/>
                <w:bCs/>
                <w:strike/>
                <w:sz w:val="24"/>
              </w:rPr>
              <w:t>在自查、抽查和年审过程中，发现交割仓库有违规等行为的，交易所可采取限期整改、暂停入库业务、取消交割仓库资格等措施。由此产生的损失由交割仓库承担。</w:t>
            </w:r>
          </w:p>
          <w:p w:rsidR="00101ED2" w:rsidRDefault="00101ED2" w:rsidP="002C6EFC">
            <w:pPr>
              <w:snapToGrid w:val="0"/>
              <w:rPr>
                <w:rFonts w:ascii="仿宋" w:eastAsia="仿宋" w:hAnsi="仿宋" w:hint="eastAsia"/>
                <w:b/>
                <w:bCs/>
                <w:sz w:val="24"/>
                <w:u w:val="single"/>
              </w:rPr>
            </w:pPr>
            <w:r>
              <w:rPr>
                <w:rFonts w:ascii="仿宋" w:eastAsia="仿宋" w:hAnsi="仿宋" w:hint="eastAsia"/>
                <w:b/>
                <w:bCs/>
                <w:sz w:val="24"/>
                <w:u w:val="single"/>
              </w:rPr>
              <w:t>交易所有权组织对交割仓库实行检查、自查、互查，可以委托会员或交易所指定的第三方机构对交割仓库进行检查，并组织对交割仓库的年审：</w:t>
            </w:r>
          </w:p>
          <w:p w:rsidR="00101ED2" w:rsidRDefault="00101ED2" w:rsidP="002C6EFC">
            <w:pPr>
              <w:snapToGrid w:val="0"/>
              <w:ind w:firstLineChars="200" w:firstLine="482"/>
              <w:rPr>
                <w:rFonts w:ascii="仿宋" w:eastAsia="仿宋" w:hAnsi="仿宋" w:hint="eastAsia"/>
                <w:b/>
                <w:bCs/>
                <w:sz w:val="24"/>
                <w:u w:val="single"/>
              </w:rPr>
            </w:pPr>
            <w:r>
              <w:rPr>
                <w:rFonts w:ascii="仿宋" w:eastAsia="仿宋" w:hAnsi="仿宋" w:hint="eastAsia"/>
                <w:b/>
                <w:bCs/>
                <w:sz w:val="24"/>
                <w:u w:val="single"/>
              </w:rPr>
              <w:t>（一）交割仓库检查，是指交易所可以随时对交割仓库进行专项或全面检查，查阅、复制与被检查事项相关的文件、资料、系统、信息、数据等，询问与被检查事项相关的人员，以检查交割仓库在日常工作中对交易所各项规定的执行情况；</w:t>
            </w:r>
            <w:r>
              <w:rPr>
                <w:rFonts w:ascii="仿宋" w:eastAsia="仿宋" w:hAnsi="仿宋" w:hint="eastAsia"/>
                <w:b/>
                <w:bCs/>
                <w:sz w:val="24"/>
                <w:u w:val="single"/>
              </w:rPr>
              <w:br/>
              <w:t xml:space="preserve">    （二）交割仓库自查，是指各交割仓库根据交易所工作要求，组织对仓库自身情况的检查，并将检查结果报送交易所；</w:t>
            </w:r>
          </w:p>
          <w:p w:rsidR="00101ED2" w:rsidRDefault="00101ED2" w:rsidP="002C6EFC">
            <w:pPr>
              <w:snapToGrid w:val="0"/>
              <w:ind w:firstLineChars="200" w:firstLine="482"/>
              <w:rPr>
                <w:rFonts w:ascii="仿宋" w:eastAsia="仿宋" w:hAnsi="仿宋" w:hint="eastAsia"/>
                <w:b/>
                <w:bCs/>
                <w:sz w:val="24"/>
                <w:u w:val="single"/>
              </w:rPr>
            </w:pPr>
            <w:r>
              <w:rPr>
                <w:rFonts w:ascii="仿宋" w:eastAsia="仿宋" w:hAnsi="仿宋" w:hint="eastAsia"/>
                <w:b/>
                <w:bCs/>
                <w:sz w:val="24"/>
                <w:u w:val="single"/>
              </w:rPr>
              <w:t>（三）交割仓库互查，</w:t>
            </w:r>
            <w:r>
              <w:rPr>
                <w:rFonts w:ascii="仿宋" w:eastAsia="仿宋" w:hAnsi="仿宋" w:hint="eastAsia"/>
                <w:b/>
                <w:bCs/>
                <w:sz w:val="24"/>
                <w:u w:val="single"/>
              </w:rPr>
              <w:lastRenderedPageBreak/>
              <w:t>是指交割仓库根据交易所工作要求，对其他交割仓库进行专项检查，并将检查结果报送交易所</w:t>
            </w:r>
            <w:r w:rsidRPr="00F83AA1">
              <w:rPr>
                <w:rFonts w:ascii="仿宋" w:eastAsia="仿宋" w:hAnsi="仿宋" w:hint="eastAsia"/>
                <w:b/>
                <w:bCs/>
                <w:sz w:val="24"/>
                <w:u w:val="single"/>
              </w:rPr>
              <w:t>；</w:t>
            </w:r>
          </w:p>
          <w:p w:rsidR="00101ED2" w:rsidRDefault="00101ED2" w:rsidP="002C6EFC">
            <w:pPr>
              <w:snapToGrid w:val="0"/>
              <w:ind w:firstLineChars="200" w:firstLine="482"/>
              <w:rPr>
                <w:rFonts w:ascii="仿宋" w:eastAsia="仿宋" w:hAnsi="仿宋" w:hint="eastAsia"/>
                <w:b/>
                <w:bCs/>
                <w:sz w:val="24"/>
                <w:u w:val="single"/>
              </w:rPr>
            </w:pPr>
            <w:r>
              <w:rPr>
                <w:rFonts w:ascii="仿宋" w:eastAsia="仿宋" w:hAnsi="仿宋" w:hint="eastAsia"/>
                <w:b/>
                <w:bCs/>
                <w:sz w:val="24"/>
                <w:u w:val="single"/>
              </w:rPr>
              <w:t>（四）会员或第三方机构检查，是指经交易所指定的会员或第三方机构，根据交易所工作要求，对交割仓库进行专项检查，并将检查结果报送交易所；</w:t>
            </w:r>
          </w:p>
          <w:p w:rsidR="00101ED2" w:rsidRDefault="00101ED2" w:rsidP="002C6EFC">
            <w:pPr>
              <w:snapToGrid w:val="0"/>
              <w:ind w:firstLineChars="200" w:firstLine="482"/>
              <w:rPr>
                <w:rFonts w:ascii="仿宋" w:eastAsia="仿宋" w:hAnsi="仿宋" w:hint="eastAsia"/>
                <w:b/>
                <w:bCs/>
                <w:sz w:val="24"/>
                <w:u w:val="single"/>
              </w:rPr>
            </w:pPr>
            <w:r>
              <w:rPr>
                <w:rFonts w:ascii="仿宋" w:eastAsia="仿宋" w:hAnsi="仿宋" w:hint="eastAsia"/>
                <w:b/>
                <w:bCs/>
                <w:sz w:val="24"/>
                <w:u w:val="single"/>
              </w:rPr>
              <w:t>（五）交割仓库年审，是指交易所依据相关规定，指定会计师事务所或其它机构对交割仓库进行审核。</w:t>
            </w:r>
          </w:p>
          <w:p w:rsidR="00101ED2" w:rsidRDefault="00101ED2" w:rsidP="002C6EFC">
            <w:pPr>
              <w:snapToGrid w:val="0"/>
              <w:ind w:firstLineChars="200" w:firstLine="482"/>
              <w:rPr>
                <w:rFonts w:ascii="仿宋" w:eastAsia="仿宋" w:hAnsi="仿宋" w:hint="eastAsia"/>
                <w:b/>
                <w:bCs/>
                <w:sz w:val="24"/>
                <w:u w:val="single"/>
              </w:rPr>
            </w:pPr>
            <w:r>
              <w:rPr>
                <w:rFonts w:ascii="仿宋" w:eastAsia="仿宋" w:hAnsi="仿宋" w:hint="eastAsia"/>
                <w:b/>
                <w:bCs/>
                <w:sz w:val="24"/>
                <w:u w:val="single"/>
              </w:rPr>
              <w:t>在上述检查过程中，发现交割仓库有违规、未履行相关义务等行为，或者年审结果不符合交割仓库要求的，交易所可采取限期整改、调减交割库容、暂停全部或部分交割业务、取消交割仓库资格等措施。由此产生的损失由交割仓库承担。</w:t>
            </w:r>
          </w:p>
          <w:p w:rsidR="00101ED2" w:rsidRDefault="00101ED2" w:rsidP="002C6EFC">
            <w:pPr>
              <w:snapToGrid w:val="0"/>
              <w:ind w:firstLineChars="200" w:firstLine="482"/>
              <w:rPr>
                <w:rFonts w:ascii="仿宋" w:eastAsia="仿宋" w:hAnsi="仿宋"/>
                <w:b/>
                <w:bCs/>
                <w:sz w:val="24"/>
                <w:szCs w:val="22"/>
              </w:rPr>
            </w:pPr>
            <w:r>
              <w:rPr>
                <w:rFonts w:ascii="仿宋" w:eastAsia="仿宋" w:hAnsi="仿宋" w:hint="eastAsia"/>
                <w:b/>
                <w:bCs/>
                <w:sz w:val="24"/>
                <w:u w:val="single"/>
              </w:rPr>
              <w:t>交割仓库、会员、第三方机构对在交割仓库检查、互查过程中知悉的被检查对象尚未正式对外公开的一切相关文件、资料、系统、信息、数据等负有保密义务；违反前述义务的，应当承担相应法律责任。</w:t>
            </w:r>
          </w:p>
        </w:tc>
        <w:tc>
          <w:tcPr>
            <w:tcW w:w="1342"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细化郑商所对交割仓库的监管措施。</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widowControl/>
              <w:snapToGrid w:val="0"/>
              <w:jc w:val="left"/>
              <w:rPr>
                <w:rFonts w:ascii="Calibri" w:hAnsi="Calibri"/>
                <w:szCs w:val="22"/>
              </w:rPr>
            </w:pPr>
          </w:p>
        </w:tc>
        <w:tc>
          <w:tcPr>
            <w:tcW w:w="1352"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
                <w:bCs/>
                <w:sz w:val="24"/>
                <w:szCs w:val="22"/>
              </w:rPr>
            </w:pPr>
            <w:r>
              <w:rPr>
                <w:rFonts w:ascii="仿宋" w:eastAsia="仿宋" w:hAnsi="仿宋" w:hint="eastAsia"/>
                <w:bCs/>
                <w:sz w:val="24"/>
              </w:rPr>
              <w:t>第二十七条（五）交割中滥行收费的；</w:t>
            </w:r>
          </w:p>
        </w:tc>
        <w:tc>
          <w:tcPr>
            <w:tcW w:w="1757"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第二十五条（五）交割中滥</w:t>
            </w:r>
            <w:r>
              <w:rPr>
                <w:rFonts w:ascii="仿宋" w:eastAsia="仿宋" w:hAnsi="仿宋" w:hint="eastAsia"/>
                <w:b/>
                <w:bCs/>
                <w:strike/>
                <w:sz w:val="24"/>
              </w:rPr>
              <w:t>行</w:t>
            </w:r>
            <w:r>
              <w:rPr>
                <w:rFonts w:ascii="仿宋" w:eastAsia="仿宋" w:hAnsi="仿宋" w:hint="eastAsia"/>
                <w:bCs/>
                <w:sz w:val="24"/>
              </w:rPr>
              <w:t>收费的；</w:t>
            </w:r>
          </w:p>
        </w:tc>
        <w:tc>
          <w:tcPr>
            <w:tcW w:w="1342"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t>规范性调整。</w:t>
            </w:r>
          </w:p>
        </w:tc>
      </w:tr>
      <w:tr w:rsidR="00101ED2" w:rsidTr="002C6EFC">
        <w:tc>
          <w:tcPr>
            <w:tcW w:w="549"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widowControl/>
              <w:snapToGrid w:val="0"/>
              <w:jc w:val="left"/>
              <w:rPr>
                <w:rFonts w:ascii="Calibri" w:hAnsi="Calibri"/>
                <w:szCs w:val="22"/>
              </w:rPr>
            </w:pPr>
          </w:p>
        </w:tc>
        <w:tc>
          <w:tcPr>
            <w:tcW w:w="1352" w:type="pct"/>
            <w:tcBorders>
              <w:top w:val="single" w:sz="4" w:space="0" w:color="000000"/>
              <w:left w:val="single" w:sz="4" w:space="0" w:color="000000"/>
              <w:bottom w:val="single" w:sz="4" w:space="0" w:color="000000"/>
              <w:right w:val="single" w:sz="4" w:space="0" w:color="000000"/>
            </w:tcBorders>
          </w:tcPr>
          <w:p w:rsidR="00101ED2" w:rsidRDefault="00101ED2" w:rsidP="002C6EFC">
            <w:pPr>
              <w:snapToGrid w:val="0"/>
              <w:rPr>
                <w:rFonts w:ascii="仿宋" w:eastAsia="仿宋" w:hAnsi="仿宋"/>
                <w:bCs/>
                <w:sz w:val="24"/>
              </w:rPr>
            </w:pPr>
            <w:r>
              <w:rPr>
                <w:rFonts w:ascii="仿宋" w:eastAsia="仿宋" w:hAnsi="仿宋" w:hint="eastAsia"/>
                <w:bCs/>
                <w:sz w:val="24"/>
              </w:rPr>
              <w:t>第二十八条</w:t>
            </w:r>
            <w:r>
              <w:rPr>
                <w:rFonts w:ascii="宋体" w:hAnsi="宋体" w:cs="宋体" w:hint="eastAsia"/>
                <w:bCs/>
                <w:sz w:val="24"/>
              </w:rPr>
              <w:t xml:space="preserve"> </w:t>
            </w:r>
            <w:r>
              <w:rPr>
                <w:rFonts w:ascii="仿宋" w:eastAsia="仿宋" w:hAnsi="仿宋" w:hint="eastAsia"/>
                <w:bCs/>
                <w:sz w:val="24"/>
              </w:rPr>
              <w:t>交割仓库应当向交易所缴纳交割担保金作为交割仓库履行义务的保证。交割担保金数额和缴纳方式在《交割仓库协议书》上明确。交割担保金利息归交割仓库所有，按中国人民银行公布的同期银行活</w:t>
            </w:r>
            <w:r>
              <w:rPr>
                <w:rFonts w:ascii="仿宋" w:eastAsia="仿宋" w:hAnsi="仿宋" w:hint="eastAsia"/>
                <w:bCs/>
                <w:sz w:val="24"/>
              </w:rPr>
              <w:lastRenderedPageBreak/>
              <w:t>期存款利率每年计息一次。</w:t>
            </w:r>
          </w:p>
          <w:p w:rsidR="00101ED2" w:rsidRDefault="00101ED2" w:rsidP="002C6EFC">
            <w:pPr>
              <w:snapToGrid w:val="0"/>
              <w:rPr>
                <w:rFonts w:ascii="仿宋" w:eastAsia="仿宋" w:hAnsi="仿宋" w:hint="eastAsia"/>
                <w:bCs/>
                <w:sz w:val="24"/>
              </w:rPr>
            </w:pPr>
            <w:r>
              <w:rPr>
                <w:rFonts w:ascii="仿宋" w:eastAsia="仿宋" w:hAnsi="仿宋" w:hint="eastAsia"/>
                <w:bCs/>
                <w:sz w:val="24"/>
              </w:rPr>
              <w:t>第二十九条由于交割仓库的原因造成标准仓单持有人不能行使或不能完全行使标准仓单权利的，交割仓库应当承担赔偿责任；赔偿不足的部分由交易所按有关规定补充赔偿，补充赔偿后，交易所有权对交割仓库进行追偿。</w:t>
            </w:r>
          </w:p>
          <w:p w:rsidR="00101ED2" w:rsidRDefault="00101ED2" w:rsidP="002C6EFC">
            <w:pPr>
              <w:snapToGrid w:val="0"/>
              <w:rPr>
                <w:rFonts w:ascii="仿宋" w:eastAsia="仿宋" w:hAnsi="仿宋"/>
                <w:bCs/>
                <w:sz w:val="24"/>
                <w:szCs w:val="22"/>
              </w:rPr>
            </w:pPr>
          </w:p>
        </w:tc>
        <w:tc>
          <w:tcPr>
            <w:tcW w:w="1757" w:type="pct"/>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rPr>
            </w:pPr>
            <w:r>
              <w:rPr>
                <w:rFonts w:ascii="仿宋" w:eastAsia="仿宋" w:hAnsi="仿宋" w:hint="eastAsia"/>
                <w:bCs/>
                <w:sz w:val="24"/>
              </w:rPr>
              <w:lastRenderedPageBreak/>
              <w:t>第二十六条 交割仓库应当向交易所缴纳交割担保金作为交割仓库履行相关义务的保证。</w:t>
            </w:r>
            <w:r>
              <w:rPr>
                <w:rFonts w:ascii="仿宋" w:eastAsia="仿宋" w:hAnsi="仿宋" w:hint="eastAsia"/>
                <w:b/>
                <w:bCs/>
                <w:strike/>
                <w:sz w:val="24"/>
              </w:rPr>
              <w:t>交割担保金数额和缴纳方式在《交割仓库协议书》上明确。交割担保金利息归交割仓库所有，</w:t>
            </w:r>
            <w:r>
              <w:rPr>
                <w:rFonts w:ascii="仿宋" w:eastAsia="仿宋" w:hAnsi="仿宋" w:hint="eastAsia"/>
                <w:b/>
                <w:bCs/>
                <w:sz w:val="24"/>
                <w:u w:val="single"/>
              </w:rPr>
              <w:t>经交易所认定交割仓库履行了本办法规定的义务的，交易所将交割担保金利息返还给交割仓库，利息</w:t>
            </w:r>
            <w:r>
              <w:rPr>
                <w:rFonts w:ascii="仿宋" w:eastAsia="仿宋" w:hAnsi="仿宋" w:hint="eastAsia"/>
                <w:bCs/>
                <w:sz w:val="24"/>
              </w:rPr>
              <w:t>按中国人</w:t>
            </w:r>
            <w:r>
              <w:rPr>
                <w:rFonts w:ascii="仿宋" w:eastAsia="仿宋" w:hAnsi="仿宋" w:hint="eastAsia"/>
                <w:bCs/>
                <w:sz w:val="24"/>
              </w:rPr>
              <w:lastRenderedPageBreak/>
              <w:t>民银行公布的同期银行活期存款利率每年计息一次。</w:t>
            </w:r>
          </w:p>
          <w:p w:rsidR="00101ED2" w:rsidRDefault="00101ED2" w:rsidP="002C6EFC">
            <w:pPr>
              <w:snapToGrid w:val="0"/>
              <w:ind w:firstLineChars="200" w:firstLine="480"/>
              <w:rPr>
                <w:rFonts w:ascii="仿宋" w:eastAsia="仿宋" w:hAnsi="仿宋" w:hint="eastAsia"/>
                <w:bCs/>
                <w:sz w:val="24"/>
              </w:rPr>
            </w:pPr>
            <w:r>
              <w:rPr>
                <w:rFonts w:ascii="仿宋" w:eastAsia="仿宋" w:hAnsi="仿宋" w:hint="eastAsia"/>
                <w:bCs/>
                <w:sz w:val="24"/>
              </w:rPr>
              <w:t>因交割仓库的原因致使标准仓单持有人不能及时行使或不能完全行使标准仓单权利的，交割仓库应当承担赔偿责任。</w:t>
            </w:r>
            <w:r>
              <w:rPr>
                <w:rFonts w:ascii="仿宋" w:eastAsia="仿宋" w:hAnsi="仿宋" w:hint="eastAsia"/>
                <w:b/>
                <w:bCs/>
                <w:sz w:val="24"/>
                <w:u w:val="single"/>
              </w:rPr>
              <w:t>赔偿不足的部分由交易所首先用其所缴纳的交割担保金赔偿；</w:t>
            </w:r>
            <w:r>
              <w:rPr>
                <w:rFonts w:ascii="仿宋" w:eastAsia="仿宋" w:hAnsi="仿宋" w:hint="eastAsia"/>
                <w:bCs/>
                <w:sz w:val="24"/>
              </w:rPr>
              <w:t>交割担保金不足以赔偿的，由交易所按有关规定补充赔偿；补充赔偿后，交易所有权向交割仓库追偿。</w:t>
            </w:r>
          </w:p>
          <w:p w:rsidR="00101ED2" w:rsidRDefault="00101ED2" w:rsidP="002C6EFC">
            <w:pPr>
              <w:snapToGrid w:val="0"/>
              <w:ind w:firstLineChars="200" w:firstLine="482"/>
              <w:rPr>
                <w:rFonts w:ascii="仿宋" w:eastAsia="仿宋" w:hAnsi="仿宋"/>
                <w:b/>
                <w:bCs/>
                <w:sz w:val="24"/>
                <w:szCs w:val="22"/>
                <w:u w:val="single"/>
              </w:rPr>
            </w:pPr>
            <w:r>
              <w:rPr>
                <w:rFonts w:ascii="仿宋" w:eastAsia="仿宋" w:hAnsi="仿宋" w:hint="eastAsia"/>
                <w:b/>
                <w:bCs/>
                <w:sz w:val="24"/>
                <w:u w:val="single"/>
              </w:rPr>
              <w:t>交割担保金的具体数额在交割仓库协议书中进行明确约定。</w:t>
            </w:r>
          </w:p>
        </w:tc>
        <w:tc>
          <w:tcPr>
            <w:tcW w:w="1342" w:type="pct"/>
            <w:gridSpan w:val="2"/>
            <w:tcBorders>
              <w:top w:val="single" w:sz="4" w:space="0" w:color="000000"/>
              <w:left w:val="single" w:sz="4" w:space="0" w:color="000000"/>
              <w:bottom w:val="single" w:sz="4" w:space="0" w:color="000000"/>
              <w:right w:val="single" w:sz="4" w:space="0" w:color="000000"/>
            </w:tcBorders>
            <w:hideMark/>
          </w:tcPr>
          <w:p w:rsidR="00101ED2" w:rsidRDefault="00101ED2" w:rsidP="002C6EFC">
            <w:pPr>
              <w:snapToGrid w:val="0"/>
              <w:rPr>
                <w:rFonts w:ascii="仿宋" w:eastAsia="仿宋" w:hAnsi="仿宋"/>
                <w:bCs/>
                <w:sz w:val="24"/>
                <w:szCs w:val="22"/>
              </w:rPr>
            </w:pPr>
            <w:r>
              <w:rPr>
                <w:rFonts w:ascii="仿宋" w:eastAsia="仿宋" w:hAnsi="仿宋" w:hint="eastAsia"/>
                <w:bCs/>
                <w:sz w:val="24"/>
              </w:rPr>
              <w:lastRenderedPageBreak/>
              <w:t>原条文在内容上存在分割，将二十八条和二十九条进行合并。</w:t>
            </w:r>
          </w:p>
        </w:tc>
      </w:tr>
    </w:tbl>
    <w:p w:rsidR="00101ED2" w:rsidRDefault="00101ED2" w:rsidP="00101ED2">
      <w:pPr>
        <w:rPr>
          <w:rFonts w:ascii="仿宋" w:eastAsia="仿宋" w:hAnsi="仿宋" w:hint="eastAsia"/>
          <w:sz w:val="32"/>
          <w:szCs w:val="32"/>
        </w:rPr>
      </w:pPr>
    </w:p>
    <w:p w:rsidR="00101ED2" w:rsidRPr="004B2D17" w:rsidRDefault="00101ED2" w:rsidP="00101ED2">
      <w:pPr>
        <w:ind w:right="1287"/>
        <w:rPr>
          <w:rFonts w:ascii="仿宋" w:eastAsia="仿宋" w:hAnsi="仿宋" w:cs="Arial" w:hint="eastAsia"/>
          <w:color w:val="000000"/>
          <w:spacing w:val="-4"/>
          <w:sz w:val="32"/>
          <w:szCs w:val="32"/>
        </w:rPr>
      </w:pPr>
    </w:p>
    <w:p w:rsidR="00101ED2" w:rsidRDefault="00101ED2" w:rsidP="00101ED2"/>
    <w:p w:rsidR="00101ED2" w:rsidRDefault="00101ED2" w:rsidP="00101ED2"/>
    <w:p w:rsidR="00101ED2" w:rsidRDefault="00101ED2" w:rsidP="00101ED2"/>
    <w:p w:rsidR="00D71A04" w:rsidRDefault="00D71A04"/>
    <w:sectPr w:rsidR="00D71A04" w:rsidSect="0001447B">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6D" w:rsidRDefault="00785F6D" w:rsidP="0001447B">
      <w:r>
        <w:separator/>
      </w:r>
    </w:p>
  </w:endnote>
  <w:endnote w:type="continuationSeparator" w:id="1">
    <w:p w:rsidR="00785F6D" w:rsidRDefault="00785F6D" w:rsidP="000144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E1" w:rsidRDefault="00785F6D">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1447B">
      <w:rPr>
        <w:rStyle w:val="a4"/>
        <w:noProof/>
        <w:sz w:val="28"/>
      </w:rPr>
      <w:t>10</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E1" w:rsidRDefault="00785F6D">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01447B">
      <w:rPr>
        <w:rStyle w:val="a4"/>
        <w:noProof/>
        <w:sz w:val="28"/>
      </w:rPr>
      <w:t>7</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6D" w:rsidRDefault="00785F6D" w:rsidP="0001447B">
      <w:r>
        <w:separator/>
      </w:r>
    </w:p>
  </w:footnote>
  <w:footnote w:type="continuationSeparator" w:id="1">
    <w:p w:rsidR="00785F6D" w:rsidRDefault="00785F6D" w:rsidP="00014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ED2"/>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47B"/>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2B3"/>
    <w:rsid w:val="0005088E"/>
    <w:rsid w:val="00051127"/>
    <w:rsid w:val="00052C5C"/>
    <w:rsid w:val="00053351"/>
    <w:rsid w:val="00054BB2"/>
    <w:rsid w:val="00054F1B"/>
    <w:rsid w:val="00055285"/>
    <w:rsid w:val="0005578A"/>
    <w:rsid w:val="000561D3"/>
    <w:rsid w:val="000562B5"/>
    <w:rsid w:val="00056474"/>
    <w:rsid w:val="00056749"/>
    <w:rsid w:val="00056C3C"/>
    <w:rsid w:val="00056C8E"/>
    <w:rsid w:val="000572AF"/>
    <w:rsid w:val="00057D6C"/>
    <w:rsid w:val="0006039E"/>
    <w:rsid w:val="00061F9A"/>
    <w:rsid w:val="00062B5A"/>
    <w:rsid w:val="00062BAE"/>
    <w:rsid w:val="000650D9"/>
    <w:rsid w:val="0006546E"/>
    <w:rsid w:val="00065F7D"/>
    <w:rsid w:val="00066622"/>
    <w:rsid w:val="0006671E"/>
    <w:rsid w:val="0006742C"/>
    <w:rsid w:val="00067A93"/>
    <w:rsid w:val="00067BFC"/>
    <w:rsid w:val="00067F9F"/>
    <w:rsid w:val="00070181"/>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A59"/>
    <w:rsid w:val="00084B23"/>
    <w:rsid w:val="00084CA9"/>
    <w:rsid w:val="000851C5"/>
    <w:rsid w:val="000856AF"/>
    <w:rsid w:val="00086320"/>
    <w:rsid w:val="00086515"/>
    <w:rsid w:val="00086DE2"/>
    <w:rsid w:val="00086E7C"/>
    <w:rsid w:val="00086EBD"/>
    <w:rsid w:val="000875FF"/>
    <w:rsid w:val="000877C2"/>
    <w:rsid w:val="000877FE"/>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1ED2"/>
    <w:rsid w:val="001023C2"/>
    <w:rsid w:val="0010326F"/>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6F2"/>
    <w:rsid w:val="001358AD"/>
    <w:rsid w:val="00135D1B"/>
    <w:rsid w:val="00136575"/>
    <w:rsid w:val="00137BE6"/>
    <w:rsid w:val="001404DF"/>
    <w:rsid w:val="00140756"/>
    <w:rsid w:val="00140AD8"/>
    <w:rsid w:val="00141399"/>
    <w:rsid w:val="00141786"/>
    <w:rsid w:val="0014184D"/>
    <w:rsid w:val="001426BF"/>
    <w:rsid w:val="00142F53"/>
    <w:rsid w:val="00143CAA"/>
    <w:rsid w:val="00143E16"/>
    <w:rsid w:val="00143E57"/>
    <w:rsid w:val="001441E0"/>
    <w:rsid w:val="0014436D"/>
    <w:rsid w:val="00146221"/>
    <w:rsid w:val="00146AE7"/>
    <w:rsid w:val="00146CDA"/>
    <w:rsid w:val="00146DAC"/>
    <w:rsid w:val="00147004"/>
    <w:rsid w:val="0014737B"/>
    <w:rsid w:val="0014739F"/>
    <w:rsid w:val="001476E7"/>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48F"/>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2352"/>
    <w:rsid w:val="0018235A"/>
    <w:rsid w:val="00182BD8"/>
    <w:rsid w:val="00183B20"/>
    <w:rsid w:val="0018410E"/>
    <w:rsid w:val="0018431A"/>
    <w:rsid w:val="001843F2"/>
    <w:rsid w:val="00184983"/>
    <w:rsid w:val="00184AEA"/>
    <w:rsid w:val="00185AAF"/>
    <w:rsid w:val="001866E8"/>
    <w:rsid w:val="00186C07"/>
    <w:rsid w:val="00187DF4"/>
    <w:rsid w:val="001918D9"/>
    <w:rsid w:val="0019228B"/>
    <w:rsid w:val="00192437"/>
    <w:rsid w:val="001929EC"/>
    <w:rsid w:val="0019313C"/>
    <w:rsid w:val="0019367C"/>
    <w:rsid w:val="00193A87"/>
    <w:rsid w:val="00194AA2"/>
    <w:rsid w:val="00196074"/>
    <w:rsid w:val="00196923"/>
    <w:rsid w:val="00196FE6"/>
    <w:rsid w:val="00197016"/>
    <w:rsid w:val="0019756B"/>
    <w:rsid w:val="001A1517"/>
    <w:rsid w:val="001A1C13"/>
    <w:rsid w:val="001A1DF4"/>
    <w:rsid w:val="001A1FD6"/>
    <w:rsid w:val="001A2341"/>
    <w:rsid w:val="001A2B1C"/>
    <w:rsid w:val="001A2BE0"/>
    <w:rsid w:val="001A39EB"/>
    <w:rsid w:val="001A42D5"/>
    <w:rsid w:val="001A451D"/>
    <w:rsid w:val="001A57FF"/>
    <w:rsid w:val="001A5A19"/>
    <w:rsid w:val="001A64F8"/>
    <w:rsid w:val="001A6963"/>
    <w:rsid w:val="001A722D"/>
    <w:rsid w:val="001B005B"/>
    <w:rsid w:val="001B03E1"/>
    <w:rsid w:val="001B04AF"/>
    <w:rsid w:val="001B1B68"/>
    <w:rsid w:val="001B201B"/>
    <w:rsid w:val="001B2284"/>
    <w:rsid w:val="001B2410"/>
    <w:rsid w:val="001B270B"/>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FA5"/>
    <w:rsid w:val="003149C1"/>
    <w:rsid w:val="00314DC8"/>
    <w:rsid w:val="00314FFD"/>
    <w:rsid w:val="003151EE"/>
    <w:rsid w:val="00315358"/>
    <w:rsid w:val="00316350"/>
    <w:rsid w:val="0031645E"/>
    <w:rsid w:val="0031697A"/>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98B"/>
    <w:rsid w:val="00383EEC"/>
    <w:rsid w:val="003843B0"/>
    <w:rsid w:val="003850E3"/>
    <w:rsid w:val="00385C37"/>
    <w:rsid w:val="00385CF8"/>
    <w:rsid w:val="00386ED7"/>
    <w:rsid w:val="00387198"/>
    <w:rsid w:val="003915BF"/>
    <w:rsid w:val="003920B2"/>
    <w:rsid w:val="003924D4"/>
    <w:rsid w:val="0039402F"/>
    <w:rsid w:val="003956F9"/>
    <w:rsid w:val="00395B85"/>
    <w:rsid w:val="00395C4B"/>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DD1"/>
    <w:rsid w:val="003B2E05"/>
    <w:rsid w:val="003B34EE"/>
    <w:rsid w:val="003B48FA"/>
    <w:rsid w:val="003B510E"/>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E6DB1"/>
    <w:rsid w:val="003F0595"/>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C44"/>
    <w:rsid w:val="00442DDA"/>
    <w:rsid w:val="00442DF7"/>
    <w:rsid w:val="004434E5"/>
    <w:rsid w:val="0044463D"/>
    <w:rsid w:val="00444F95"/>
    <w:rsid w:val="00445BA0"/>
    <w:rsid w:val="00445F13"/>
    <w:rsid w:val="004465CC"/>
    <w:rsid w:val="004465D0"/>
    <w:rsid w:val="0044709F"/>
    <w:rsid w:val="00447DC9"/>
    <w:rsid w:val="0045092F"/>
    <w:rsid w:val="00451305"/>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1261"/>
    <w:rsid w:val="0046149B"/>
    <w:rsid w:val="00461E87"/>
    <w:rsid w:val="004621A9"/>
    <w:rsid w:val="004634F6"/>
    <w:rsid w:val="004644FF"/>
    <w:rsid w:val="00464A37"/>
    <w:rsid w:val="004652BD"/>
    <w:rsid w:val="00465E38"/>
    <w:rsid w:val="00465F50"/>
    <w:rsid w:val="00466A04"/>
    <w:rsid w:val="00466C03"/>
    <w:rsid w:val="00466FE3"/>
    <w:rsid w:val="00467280"/>
    <w:rsid w:val="00467A33"/>
    <w:rsid w:val="00467BCE"/>
    <w:rsid w:val="00470DD5"/>
    <w:rsid w:val="00471B6D"/>
    <w:rsid w:val="0047295B"/>
    <w:rsid w:val="00473784"/>
    <w:rsid w:val="00473CC9"/>
    <w:rsid w:val="0047410D"/>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752"/>
    <w:rsid w:val="00482D1C"/>
    <w:rsid w:val="00482D99"/>
    <w:rsid w:val="0048326F"/>
    <w:rsid w:val="00483BFC"/>
    <w:rsid w:val="004841ED"/>
    <w:rsid w:val="004842A9"/>
    <w:rsid w:val="00485368"/>
    <w:rsid w:val="0048573C"/>
    <w:rsid w:val="00485B09"/>
    <w:rsid w:val="00486659"/>
    <w:rsid w:val="00487160"/>
    <w:rsid w:val="0048795F"/>
    <w:rsid w:val="00487EC4"/>
    <w:rsid w:val="00487FB7"/>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2D36"/>
    <w:rsid w:val="004A2D71"/>
    <w:rsid w:val="004A3C73"/>
    <w:rsid w:val="004A4598"/>
    <w:rsid w:val="004A49E4"/>
    <w:rsid w:val="004A4E8C"/>
    <w:rsid w:val="004A5742"/>
    <w:rsid w:val="004A586C"/>
    <w:rsid w:val="004A594D"/>
    <w:rsid w:val="004A65A2"/>
    <w:rsid w:val="004A6960"/>
    <w:rsid w:val="004A6C08"/>
    <w:rsid w:val="004B00F9"/>
    <w:rsid w:val="004B02EB"/>
    <w:rsid w:val="004B053C"/>
    <w:rsid w:val="004B0F7F"/>
    <w:rsid w:val="004B175B"/>
    <w:rsid w:val="004B1C69"/>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685"/>
    <w:rsid w:val="004C193D"/>
    <w:rsid w:val="004C203C"/>
    <w:rsid w:val="004C290F"/>
    <w:rsid w:val="004C30AE"/>
    <w:rsid w:val="004C30EE"/>
    <w:rsid w:val="004C31FB"/>
    <w:rsid w:val="004C38E2"/>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69B0"/>
    <w:rsid w:val="00506E5C"/>
    <w:rsid w:val="005070C9"/>
    <w:rsid w:val="00510088"/>
    <w:rsid w:val="00510372"/>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1080"/>
    <w:rsid w:val="005B180D"/>
    <w:rsid w:val="005B286F"/>
    <w:rsid w:val="005B3DF5"/>
    <w:rsid w:val="005B427C"/>
    <w:rsid w:val="005B4478"/>
    <w:rsid w:val="005B4DFF"/>
    <w:rsid w:val="005B5263"/>
    <w:rsid w:val="005B545F"/>
    <w:rsid w:val="005B585E"/>
    <w:rsid w:val="005B5E04"/>
    <w:rsid w:val="005B734F"/>
    <w:rsid w:val="005B7C21"/>
    <w:rsid w:val="005C0064"/>
    <w:rsid w:val="005C0F2B"/>
    <w:rsid w:val="005C187F"/>
    <w:rsid w:val="005C2C3B"/>
    <w:rsid w:val="005C383B"/>
    <w:rsid w:val="005C4B2F"/>
    <w:rsid w:val="005C4C4E"/>
    <w:rsid w:val="005C58B7"/>
    <w:rsid w:val="005C6D35"/>
    <w:rsid w:val="005C7AE3"/>
    <w:rsid w:val="005C7D9B"/>
    <w:rsid w:val="005D003E"/>
    <w:rsid w:val="005D0E82"/>
    <w:rsid w:val="005D0E88"/>
    <w:rsid w:val="005D0F70"/>
    <w:rsid w:val="005D1705"/>
    <w:rsid w:val="005D173A"/>
    <w:rsid w:val="005D1744"/>
    <w:rsid w:val="005D1F75"/>
    <w:rsid w:val="005D27CF"/>
    <w:rsid w:val="005D2DF7"/>
    <w:rsid w:val="005D2F25"/>
    <w:rsid w:val="005D3971"/>
    <w:rsid w:val="005D3B49"/>
    <w:rsid w:val="005D3FD7"/>
    <w:rsid w:val="005D4AC8"/>
    <w:rsid w:val="005D4F2A"/>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279E"/>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889"/>
    <w:rsid w:val="00671F63"/>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3965"/>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5140"/>
    <w:rsid w:val="006E5645"/>
    <w:rsid w:val="006E5A05"/>
    <w:rsid w:val="006E5DF0"/>
    <w:rsid w:val="006E6B6D"/>
    <w:rsid w:val="006E70B9"/>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68BC"/>
    <w:rsid w:val="007003C4"/>
    <w:rsid w:val="007007E4"/>
    <w:rsid w:val="00700BD7"/>
    <w:rsid w:val="007035E8"/>
    <w:rsid w:val="00704416"/>
    <w:rsid w:val="007050FD"/>
    <w:rsid w:val="00705E80"/>
    <w:rsid w:val="0070607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F6D"/>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281"/>
    <w:rsid w:val="0088511A"/>
    <w:rsid w:val="0088519F"/>
    <w:rsid w:val="00886C64"/>
    <w:rsid w:val="00886D33"/>
    <w:rsid w:val="008878C2"/>
    <w:rsid w:val="00887C6E"/>
    <w:rsid w:val="00890003"/>
    <w:rsid w:val="00890350"/>
    <w:rsid w:val="00890674"/>
    <w:rsid w:val="008912E3"/>
    <w:rsid w:val="00891587"/>
    <w:rsid w:val="00892161"/>
    <w:rsid w:val="00892455"/>
    <w:rsid w:val="00892F22"/>
    <w:rsid w:val="00893959"/>
    <w:rsid w:val="00893998"/>
    <w:rsid w:val="00893FC2"/>
    <w:rsid w:val="0089438A"/>
    <w:rsid w:val="0089452A"/>
    <w:rsid w:val="008948E6"/>
    <w:rsid w:val="00894E31"/>
    <w:rsid w:val="00895778"/>
    <w:rsid w:val="00896295"/>
    <w:rsid w:val="00896980"/>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4D9"/>
    <w:rsid w:val="008D39A3"/>
    <w:rsid w:val="008D3B86"/>
    <w:rsid w:val="008D419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3004"/>
    <w:rsid w:val="008F3419"/>
    <w:rsid w:val="008F3D74"/>
    <w:rsid w:val="008F3DB8"/>
    <w:rsid w:val="008F4686"/>
    <w:rsid w:val="008F4885"/>
    <w:rsid w:val="008F495B"/>
    <w:rsid w:val="008F560E"/>
    <w:rsid w:val="008F5EC1"/>
    <w:rsid w:val="008F639A"/>
    <w:rsid w:val="008F6403"/>
    <w:rsid w:val="008F67E0"/>
    <w:rsid w:val="009001FD"/>
    <w:rsid w:val="00900C67"/>
    <w:rsid w:val="00900E9A"/>
    <w:rsid w:val="00901302"/>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E08"/>
    <w:rsid w:val="00941F67"/>
    <w:rsid w:val="00942E5E"/>
    <w:rsid w:val="00942E90"/>
    <w:rsid w:val="00943CFB"/>
    <w:rsid w:val="00944891"/>
    <w:rsid w:val="00945250"/>
    <w:rsid w:val="00945691"/>
    <w:rsid w:val="00946668"/>
    <w:rsid w:val="00946F6A"/>
    <w:rsid w:val="009470B3"/>
    <w:rsid w:val="00947297"/>
    <w:rsid w:val="009475CF"/>
    <w:rsid w:val="009476AD"/>
    <w:rsid w:val="009479B2"/>
    <w:rsid w:val="0095046D"/>
    <w:rsid w:val="0095112E"/>
    <w:rsid w:val="00951CE2"/>
    <w:rsid w:val="00952B3B"/>
    <w:rsid w:val="009541C8"/>
    <w:rsid w:val="0095424B"/>
    <w:rsid w:val="009548F8"/>
    <w:rsid w:val="00956374"/>
    <w:rsid w:val="00956423"/>
    <w:rsid w:val="00957773"/>
    <w:rsid w:val="00960592"/>
    <w:rsid w:val="0096094A"/>
    <w:rsid w:val="00960DD6"/>
    <w:rsid w:val="009613ED"/>
    <w:rsid w:val="009615A7"/>
    <w:rsid w:val="00961749"/>
    <w:rsid w:val="00961E43"/>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4674"/>
    <w:rsid w:val="00974AE0"/>
    <w:rsid w:val="00974DF9"/>
    <w:rsid w:val="00974FC1"/>
    <w:rsid w:val="009751CC"/>
    <w:rsid w:val="0097537E"/>
    <w:rsid w:val="0097541A"/>
    <w:rsid w:val="009754F0"/>
    <w:rsid w:val="00975C83"/>
    <w:rsid w:val="0097630B"/>
    <w:rsid w:val="009769BD"/>
    <w:rsid w:val="0098048A"/>
    <w:rsid w:val="009807A6"/>
    <w:rsid w:val="009809C0"/>
    <w:rsid w:val="00980EE0"/>
    <w:rsid w:val="00981312"/>
    <w:rsid w:val="00981ABA"/>
    <w:rsid w:val="00981AFA"/>
    <w:rsid w:val="009821D1"/>
    <w:rsid w:val="0098257C"/>
    <w:rsid w:val="00982A34"/>
    <w:rsid w:val="00982D5B"/>
    <w:rsid w:val="00983808"/>
    <w:rsid w:val="00983AD4"/>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33E8"/>
    <w:rsid w:val="00994188"/>
    <w:rsid w:val="009942C3"/>
    <w:rsid w:val="009944AF"/>
    <w:rsid w:val="009944B7"/>
    <w:rsid w:val="0099460D"/>
    <w:rsid w:val="009946B9"/>
    <w:rsid w:val="0099477B"/>
    <w:rsid w:val="00994AB9"/>
    <w:rsid w:val="00995B96"/>
    <w:rsid w:val="00995E3A"/>
    <w:rsid w:val="00995E8F"/>
    <w:rsid w:val="00996AE0"/>
    <w:rsid w:val="009971D5"/>
    <w:rsid w:val="009A083A"/>
    <w:rsid w:val="009A2014"/>
    <w:rsid w:val="009A48A1"/>
    <w:rsid w:val="009A4C94"/>
    <w:rsid w:val="009A540A"/>
    <w:rsid w:val="009A71A9"/>
    <w:rsid w:val="009A75C0"/>
    <w:rsid w:val="009A7BD2"/>
    <w:rsid w:val="009A7C1A"/>
    <w:rsid w:val="009B056E"/>
    <w:rsid w:val="009B08C4"/>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FA4"/>
    <w:rsid w:val="009D32A7"/>
    <w:rsid w:val="009D3B67"/>
    <w:rsid w:val="009D48A4"/>
    <w:rsid w:val="009D4C66"/>
    <w:rsid w:val="009D4E71"/>
    <w:rsid w:val="009D4E75"/>
    <w:rsid w:val="009D4EC9"/>
    <w:rsid w:val="009D52A7"/>
    <w:rsid w:val="009D63F5"/>
    <w:rsid w:val="009D78EC"/>
    <w:rsid w:val="009E05B9"/>
    <w:rsid w:val="009E125F"/>
    <w:rsid w:val="009E1B18"/>
    <w:rsid w:val="009E1DD1"/>
    <w:rsid w:val="009E20A2"/>
    <w:rsid w:val="009E23EF"/>
    <w:rsid w:val="009E2594"/>
    <w:rsid w:val="009E321C"/>
    <w:rsid w:val="009E3BDB"/>
    <w:rsid w:val="009E4380"/>
    <w:rsid w:val="009E46E0"/>
    <w:rsid w:val="009E4DAC"/>
    <w:rsid w:val="009E5A8F"/>
    <w:rsid w:val="009E70A4"/>
    <w:rsid w:val="009F01AB"/>
    <w:rsid w:val="009F0B5B"/>
    <w:rsid w:val="009F0D36"/>
    <w:rsid w:val="009F23E0"/>
    <w:rsid w:val="009F25DC"/>
    <w:rsid w:val="009F2B0E"/>
    <w:rsid w:val="009F2B44"/>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60FB"/>
    <w:rsid w:val="00A369A4"/>
    <w:rsid w:val="00A36A81"/>
    <w:rsid w:val="00A36E0F"/>
    <w:rsid w:val="00A37137"/>
    <w:rsid w:val="00A37556"/>
    <w:rsid w:val="00A4311B"/>
    <w:rsid w:val="00A43691"/>
    <w:rsid w:val="00A43843"/>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70FA9"/>
    <w:rsid w:val="00A717AE"/>
    <w:rsid w:val="00A72BF3"/>
    <w:rsid w:val="00A735E1"/>
    <w:rsid w:val="00A73706"/>
    <w:rsid w:val="00A737FB"/>
    <w:rsid w:val="00A74385"/>
    <w:rsid w:val="00A745AF"/>
    <w:rsid w:val="00A74951"/>
    <w:rsid w:val="00A74BB4"/>
    <w:rsid w:val="00A74D00"/>
    <w:rsid w:val="00A75A55"/>
    <w:rsid w:val="00A75BE9"/>
    <w:rsid w:val="00A75D0D"/>
    <w:rsid w:val="00A75E4A"/>
    <w:rsid w:val="00A7623D"/>
    <w:rsid w:val="00A80440"/>
    <w:rsid w:val="00A81A53"/>
    <w:rsid w:val="00A81F04"/>
    <w:rsid w:val="00A825E4"/>
    <w:rsid w:val="00A826DB"/>
    <w:rsid w:val="00A82941"/>
    <w:rsid w:val="00A831BB"/>
    <w:rsid w:val="00A83C43"/>
    <w:rsid w:val="00A8400C"/>
    <w:rsid w:val="00A84B4C"/>
    <w:rsid w:val="00A84BE1"/>
    <w:rsid w:val="00A85327"/>
    <w:rsid w:val="00A858C7"/>
    <w:rsid w:val="00A85E2A"/>
    <w:rsid w:val="00A86765"/>
    <w:rsid w:val="00A86B26"/>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41EB"/>
    <w:rsid w:val="00A94280"/>
    <w:rsid w:val="00A94A99"/>
    <w:rsid w:val="00A94AAD"/>
    <w:rsid w:val="00A94B68"/>
    <w:rsid w:val="00A94F8B"/>
    <w:rsid w:val="00A9514C"/>
    <w:rsid w:val="00A952EE"/>
    <w:rsid w:val="00A9531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6401"/>
    <w:rsid w:val="00AC7870"/>
    <w:rsid w:val="00AC7985"/>
    <w:rsid w:val="00AD148B"/>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135C"/>
    <w:rsid w:val="00B217D9"/>
    <w:rsid w:val="00B22533"/>
    <w:rsid w:val="00B23CBC"/>
    <w:rsid w:val="00B24142"/>
    <w:rsid w:val="00B2522D"/>
    <w:rsid w:val="00B25697"/>
    <w:rsid w:val="00B26D1B"/>
    <w:rsid w:val="00B30227"/>
    <w:rsid w:val="00B30D62"/>
    <w:rsid w:val="00B31777"/>
    <w:rsid w:val="00B31C09"/>
    <w:rsid w:val="00B31D4D"/>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1F"/>
    <w:rsid w:val="00B862B7"/>
    <w:rsid w:val="00B86831"/>
    <w:rsid w:val="00B86CA3"/>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F79"/>
    <w:rsid w:val="00B94177"/>
    <w:rsid w:val="00B942FF"/>
    <w:rsid w:val="00B94B11"/>
    <w:rsid w:val="00B95EDE"/>
    <w:rsid w:val="00B96DB0"/>
    <w:rsid w:val="00B971BA"/>
    <w:rsid w:val="00B973B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DFC"/>
    <w:rsid w:val="00BF6F32"/>
    <w:rsid w:val="00BF7227"/>
    <w:rsid w:val="00BF77C8"/>
    <w:rsid w:val="00C016A7"/>
    <w:rsid w:val="00C017AA"/>
    <w:rsid w:val="00C01BC3"/>
    <w:rsid w:val="00C01E8D"/>
    <w:rsid w:val="00C02264"/>
    <w:rsid w:val="00C02411"/>
    <w:rsid w:val="00C02591"/>
    <w:rsid w:val="00C02A3E"/>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DDA"/>
    <w:rsid w:val="00C727CE"/>
    <w:rsid w:val="00C73E50"/>
    <w:rsid w:val="00C74139"/>
    <w:rsid w:val="00C742CC"/>
    <w:rsid w:val="00C743EF"/>
    <w:rsid w:val="00C746C0"/>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329F"/>
    <w:rsid w:val="00D1375D"/>
    <w:rsid w:val="00D138EB"/>
    <w:rsid w:val="00D149FB"/>
    <w:rsid w:val="00D15355"/>
    <w:rsid w:val="00D17336"/>
    <w:rsid w:val="00D17347"/>
    <w:rsid w:val="00D179CE"/>
    <w:rsid w:val="00D17C10"/>
    <w:rsid w:val="00D17EA8"/>
    <w:rsid w:val="00D17F54"/>
    <w:rsid w:val="00D20459"/>
    <w:rsid w:val="00D22955"/>
    <w:rsid w:val="00D245BB"/>
    <w:rsid w:val="00D24D4E"/>
    <w:rsid w:val="00D24DAB"/>
    <w:rsid w:val="00D24EF3"/>
    <w:rsid w:val="00D253EC"/>
    <w:rsid w:val="00D256C0"/>
    <w:rsid w:val="00D25A2F"/>
    <w:rsid w:val="00D26A77"/>
    <w:rsid w:val="00D270E6"/>
    <w:rsid w:val="00D278B5"/>
    <w:rsid w:val="00D27F1D"/>
    <w:rsid w:val="00D309A5"/>
    <w:rsid w:val="00D309F8"/>
    <w:rsid w:val="00D30CA5"/>
    <w:rsid w:val="00D32BFD"/>
    <w:rsid w:val="00D32E76"/>
    <w:rsid w:val="00D32EE3"/>
    <w:rsid w:val="00D330A2"/>
    <w:rsid w:val="00D332F1"/>
    <w:rsid w:val="00D33D58"/>
    <w:rsid w:val="00D33D79"/>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56F3"/>
    <w:rsid w:val="00D46CAD"/>
    <w:rsid w:val="00D46CB9"/>
    <w:rsid w:val="00D46CDA"/>
    <w:rsid w:val="00D46E56"/>
    <w:rsid w:val="00D4769A"/>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45B9"/>
    <w:rsid w:val="00D94761"/>
    <w:rsid w:val="00D94868"/>
    <w:rsid w:val="00D9565F"/>
    <w:rsid w:val="00D95EE4"/>
    <w:rsid w:val="00D95F11"/>
    <w:rsid w:val="00D96241"/>
    <w:rsid w:val="00D963C1"/>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B67"/>
    <w:rsid w:val="00DB41C3"/>
    <w:rsid w:val="00DB48A7"/>
    <w:rsid w:val="00DB4906"/>
    <w:rsid w:val="00DB4BD5"/>
    <w:rsid w:val="00DB6F6D"/>
    <w:rsid w:val="00DB76E4"/>
    <w:rsid w:val="00DB7882"/>
    <w:rsid w:val="00DB7D99"/>
    <w:rsid w:val="00DC04A8"/>
    <w:rsid w:val="00DC08B5"/>
    <w:rsid w:val="00DC0ABB"/>
    <w:rsid w:val="00DC1E68"/>
    <w:rsid w:val="00DC2672"/>
    <w:rsid w:val="00DC3525"/>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E1"/>
    <w:rsid w:val="00E3027A"/>
    <w:rsid w:val="00E306F1"/>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240E"/>
    <w:rsid w:val="00E42591"/>
    <w:rsid w:val="00E4269F"/>
    <w:rsid w:val="00E429E9"/>
    <w:rsid w:val="00E432DD"/>
    <w:rsid w:val="00E43D44"/>
    <w:rsid w:val="00E43FC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6969"/>
    <w:rsid w:val="00EB7FEA"/>
    <w:rsid w:val="00EC0E22"/>
    <w:rsid w:val="00EC100E"/>
    <w:rsid w:val="00EC12F6"/>
    <w:rsid w:val="00EC1801"/>
    <w:rsid w:val="00EC2726"/>
    <w:rsid w:val="00EC33B0"/>
    <w:rsid w:val="00EC368B"/>
    <w:rsid w:val="00EC3ADE"/>
    <w:rsid w:val="00EC50AE"/>
    <w:rsid w:val="00EC5966"/>
    <w:rsid w:val="00EC65C0"/>
    <w:rsid w:val="00EC6EE2"/>
    <w:rsid w:val="00EC79BF"/>
    <w:rsid w:val="00EC7ABD"/>
    <w:rsid w:val="00ED0335"/>
    <w:rsid w:val="00ED053D"/>
    <w:rsid w:val="00ED0DDF"/>
    <w:rsid w:val="00ED1B9A"/>
    <w:rsid w:val="00ED1D2B"/>
    <w:rsid w:val="00ED335C"/>
    <w:rsid w:val="00ED37A5"/>
    <w:rsid w:val="00ED3E4C"/>
    <w:rsid w:val="00ED4B21"/>
    <w:rsid w:val="00ED50F2"/>
    <w:rsid w:val="00ED570F"/>
    <w:rsid w:val="00ED58D1"/>
    <w:rsid w:val="00ED5CEC"/>
    <w:rsid w:val="00ED6458"/>
    <w:rsid w:val="00ED69D0"/>
    <w:rsid w:val="00ED6CDB"/>
    <w:rsid w:val="00ED6E40"/>
    <w:rsid w:val="00ED6E51"/>
    <w:rsid w:val="00EE00BC"/>
    <w:rsid w:val="00EE06CD"/>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16A9"/>
    <w:rsid w:val="00FD22C5"/>
    <w:rsid w:val="00FD31D2"/>
    <w:rsid w:val="00FD329A"/>
    <w:rsid w:val="00FD3C4B"/>
    <w:rsid w:val="00FD3CBF"/>
    <w:rsid w:val="00FD3FED"/>
    <w:rsid w:val="00FD4846"/>
    <w:rsid w:val="00FD5052"/>
    <w:rsid w:val="00FD56B1"/>
    <w:rsid w:val="00FD5B99"/>
    <w:rsid w:val="00FD5D7D"/>
    <w:rsid w:val="00FD5EA8"/>
    <w:rsid w:val="00FD65F0"/>
    <w:rsid w:val="00FD6EE3"/>
    <w:rsid w:val="00FD7D18"/>
    <w:rsid w:val="00FD7D70"/>
    <w:rsid w:val="00FD7E57"/>
    <w:rsid w:val="00FE040C"/>
    <w:rsid w:val="00FE20FE"/>
    <w:rsid w:val="00FE23BF"/>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ED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01ED2"/>
    <w:pPr>
      <w:tabs>
        <w:tab w:val="center" w:pos="4153"/>
        <w:tab w:val="right" w:pos="8306"/>
      </w:tabs>
      <w:snapToGrid w:val="0"/>
      <w:jc w:val="left"/>
    </w:pPr>
    <w:rPr>
      <w:sz w:val="18"/>
      <w:szCs w:val="18"/>
    </w:rPr>
  </w:style>
  <w:style w:type="character" w:customStyle="1" w:styleId="Char">
    <w:name w:val="页脚 Char"/>
    <w:basedOn w:val="a0"/>
    <w:link w:val="a3"/>
    <w:rsid w:val="00101ED2"/>
    <w:rPr>
      <w:rFonts w:ascii="Times New Roman" w:eastAsia="宋体" w:hAnsi="Times New Roman" w:cs="Times New Roman"/>
      <w:sz w:val="18"/>
      <w:szCs w:val="18"/>
    </w:rPr>
  </w:style>
  <w:style w:type="character" w:styleId="a4">
    <w:name w:val="page number"/>
    <w:basedOn w:val="a0"/>
    <w:rsid w:val="00101ED2"/>
  </w:style>
  <w:style w:type="paragraph" w:styleId="a5">
    <w:name w:val="header"/>
    <w:basedOn w:val="a"/>
    <w:link w:val="Char0"/>
    <w:uiPriority w:val="99"/>
    <w:semiHidden/>
    <w:unhideWhenUsed/>
    <w:rsid w:val="000144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144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1089</Words>
  <Characters>6210</Characters>
  <Application>Microsoft Office Word</Application>
  <DocSecurity>0</DocSecurity>
  <Lines>51</Lines>
  <Paragraphs>14</Paragraphs>
  <ScaleCrop>false</ScaleCrop>
  <Company>Lenovo</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CN=潘春萌/OU=办公室/O=CZCE</dc:creator>
  <cp:keywords/>
  <dc:description/>
  <cp:lastModifiedBy>CN=潘春萌/OU=办公室/O=CZCE</cp:lastModifiedBy>
  <cp:revision>3</cp:revision>
  <dcterms:created xsi:type="dcterms:W3CDTF">2020-12-30T07:11:00Z</dcterms:created>
  <dcterms:modified xsi:type="dcterms:W3CDTF">2020-12-30T07:11:00Z</dcterms:modified>
</cp:coreProperties>
</file>