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51" w:rsidRDefault="00C82A51" w:rsidP="00C82A51">
      <w:pPr>
        <w:rPr>
          <w:rFonts w:ascii="黑体" w:eastAsia="黑体" w:hAnsi="黑体"/>
          <w:sz w:val="30"/>
          <w:szCs w:val="30"/>
        </w:rPr>
      </w:pPr>
      <w:r>
        <w:rPr>
          <w:rFonts w:ascii="黑体" w:eastAsia="黑体" w:hAnsi="黑体" w:hint="eastAsia"/>
          <w:sz w:val="30"/>
          <w:szCs w:val="30"/>
        </w:rPr>
        <w:t>附件2</w:t>
      </w:r>
    </w:p>
    <w:p w:rsidR="00C82A51" w:rsidRPr="00957FE1" w:rsidRDefault="00C82A51" w:rsidP="00C82A51">
      <w:pPr>
        <w:spacing w:after="240"/>
        <w:jc w:val="center"/>
        <w:rPr>
          <w:rFonts w:ascii="方正小标宋简体" w:eastAsia="方正小标宋简体" w:hAnsi="宋体"/>
          <w:kern w:val="0"/>
          <w:sz w:val="44"/>
          <w:szCs w:val="44"/>
        </w:rPr>
      </w:pPr>
      <w:r w:rsidRPr="00957FE1">
        <w:rPr>
          <w:rFonts w:ascii="方正小标宋简体" w:eastAsia="方正小标宋简体" w:hAnsi="宋体" w:hint="eastAsia"/>
          <w:kern w:val="0"/>
          <w:sz w:val="44"/>
          <w:szCs w:val="44"/>
        </w:rPr>
        <w:t>郑州商品交易所期货交割细则</w:t>
      </w:r>
    </w:p>
    <w:p w:rsidR="00C82A51" w:rsidRDefault="00C82A51" w:rsidP="00C82A51">
      <w:pPr>
        <w:spacing w:before="240" w:after="240"/>
        <w:ind w:firstLineChars="200" w:firstLine="420"/>
        <w:jc w:val="left"/>
        <w:rPr>
          <w:rFonts w:ascii="宋体" w:hAnsi="宋体"/>
          <w:szCs w:val="21"/>
        </w:rPr>
      </w:pPr>
      <w:r>
        <w:rPr>
          <w:rFonts w:ascii="宋体" w:hAnsi="宋体" w:hint="eastAsia"/>
          <w:szCs w:val="21"/>
        </w:rPr>
        <w:t>（</w:t>
      </w:r>
      <w:r w:rsidRPr="00F21B41">
        <w:rPr>
          <w:rFonts w:ascii="宋体" w:hAnsi="宋体" w:hint="eastAsia"/>
          <w:szCs w:val="21"/>
        </w:rPr>
        <w:t>2022年6月14日郑州商品交易所第七届理事会第二十四次会议审议通过，自菜油期货2307合约开始施行</w:t>
      </w:r>
      <w:r>
        <w:rPr>
          <w:rFonts w:ascii="宋体" w:hAnsi="宋体" w:hint="eastAsia"/>
          <w:szCs w:val="21"/>
        </w:rPr>
        <w:t>）</w:t>
      </w:r>
    </w:p>
    <w:p w:rsidR="00C82A51" w:rsidRDefault="00C82A51" w:rsidP="00C82A51">
      <w:pPr>
        <w:widowControl/>
        <w:spacing w:after="240"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总则</w:t>
      </w:r>
    </w:p>
    <w:p w:rsidR="00C82A51" w:rsidRDefault="00C82A51" w:rsidP="00C82A51">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C82A51" w:rsidRDefault="00C82A51" w:rsidP="00C82A5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C82A51" w:rsidRDefault="00C82A51" w:rsidP="00C82A51">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标准仓单的期货交割实行三日交割法。</w:t>
      </w:r>
    </w:p>
    <w:p w:rsidR="00C82A51" w:rsidRDefault="00C82A51" w:rsidP="00C82A51">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标准仓单以外的期货交割根据品种不同确定具体的交货流程。</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交易所上市期货品种采用仓库交割、厂库交割、车（船）板交割等交割方式。</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仓库交割是指卖方通过将指定仓库开具的相关商品仓库仓单转移给买方以完成实物交割的交割方式。</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厂库交割是指卖方通过将指定厂库开具的相关商品标准仓单转移给买方以完成实物交割的交割方式。</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车（船）板交割是指卖方在交易所指定交割计价点将货物装至买方汽车板、火车板或轮船板，完成货物交收的一种实物交割方式。</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交割计价点是指车（船）板交割时由交易所指定的用于计算双方各自应承担交割费用的地点。</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各品种采用的交割方式如下：</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强麦：车（船）板交割。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棉花、早籼稻、红枣：仓库交割。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甲醇、菜粕、晚籼稻、粳稻、白糖、PTA、菜油、硅铁、锰硅</w:t>
      </w:r>
      <w:r>
        <w:rPr>
          <w:rFonts w:ascii="宋体" w:hAnsi="宋体" w:cs="宋体" w:hint="eastAsia"/>
          <w:spacing w:val="-10"/>
          <w:kern w:val="0"/>
          <w:sz w:val="28"/>
          <w:szCs w:val="28"/>
        </w:rPr>
        <w:t>、棉纱、尿素、纯碱</w:t>
      </w:r>
      <w:r>
        <w:rPr>
          <w:rFonts w:ascii="宋体" w:hAnsi="宋体" w:cs="宋体" w:hint="eastAsia"/>
          <w:kern w:val="0"/>
          <w:sz w:val="28"/>
          <w:szCs w:val="28"/>
        </w:rPr>
        <w:t>：仓库交割和厂库交割。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普麦、菜籽：车（船）板交割和仓库交割。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玻璃、短纤：厂库交割。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动力煤、花生：车（船）板交割和厂库交割。</w:t>
      </w:r>
    </w:p>
    <w:p w:rsidR="00C82A51" w:rsidRDefault="00C82A51" w:rsidP="00C82A51">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苹果：车（船）板交割、仓库交割和厂库交割。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客户的期货交割须由会员办理，并以会员名义在交易所进行，交割结果由客户承担。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委托境外经纪机构从事期货交易的客户的交割应当委托其境外经纪机构办理，境外经纪机构再委托会员办理，以会员名义在交易所进行。</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菜粕交付增值税普通发票。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苹果、红枣、花生交付增值税专用发票或农产品销售发票。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C82A51" w:rsidRDefault="00C82A51" w:rsidP="00C82A51">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期货交割标准</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普通小麦</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Pr>
          <w:rFonts w:ascii="宋体" w:hAnsi="宋体" w:cs="宋体" w:hint="eastAsia"/>
          <w:kern w:val="0"/>
          <w:sz w:val="28"/>
          <w:szCs w:val="28"/>
        </w:rPr>
        <w:t>普通小麦（以下简称普麦）交割适用国家标准、国家相关规定及本细则规定。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基准交割品：符合《中华人民共和国国家标准 小麦》（GB 1351-2008）的三等及以上小麦，且不完善粒中生芽粒≤2.0%、霉变粒≤2.0%。</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（二）1.0%＜杂质≤1.5%的，以1.0%为基准，杂质每超0.5%，入库扣量（出库补量）1％；不足0.5%的，入库不扣量（出库不补量）。车船板交货时按出库处理。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（三）8.0%＜不完善粒≤12.0%的，以8.0%为基准，不完善粒每超1.0%，入库扣量（出库补量）1.0％。车船板交货时按出库处理。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普麦接收、储存、发运采用散粮方式。</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优质强筋小麦</w:t>
      </w:r>
    </w:p>
    <w:p w:rsidR="00C82A51" w:rsidRDefault="00C82A51" w:rsidP="00C82A51">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优质强筋小麦（以下简称强麦）交割适用国家标准、国家相关规定及本细则规定：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小麦》（GB 1351-2008）的三等及以上小麦，容重≥770g/L，不完善粒中霉变粒</w:t>
      </w:r>
      <w:r>
        <w:rPr>
          <w:rFonts w:ascii="宋体" w:hAnsi="宋体" w:cs="宋体" w:hint="eastAsia"/>
          <w:kern w:val="0"/>
          <w:sz w:val="28"/>
          <w:szCs w:val="28"/>
        </w:rPr>
        <w:lastRenderedPageBreak/>
        <w:t>≤2.0%，300s≤降落数值≤550s，纯度≥80%；内在品质指标稳定时间≥12分钟、湿面筋≥31%、拉伸面积（135min）≥110 cm²。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（二）强麦交货时，12.5％＜水分≤13.5%的，水分每超0.5%，补量1.0％；不足0.5%的，不补量。</w:t>
      </w:r>
    </w:p>
    <w:p w:rsidR="00C82A51" w:rsidRDefault="00C82A51" w:rsidP="00C82A51">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强麦接收、储存、发运采用散粮方式。</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交割单位：185包±5包（227±10公斤/包），对应8手期货合约。</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棉花交割适用国家标准。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Pr>
            <w:rFonts w:ascii="宋体" w:hAnsi="宋体" w:cs="宋体" w:hint="eastAsia"/>
            <w:kern w:val="0"/>
            <w:sz w:val="28"/>
            <w:szCs w:val="28"/>
          </w:rPr>
          <w:t>27mm</w:t>
        </w:r>
      </w:smartTag>
      <w:r>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Pr>
            <w:rFonts w:ascii="宋体" w:hAnsi="宋体" w:cs="宋体" w:hint="eastAsia"/>
            <w:kern w:val="0"/>
            <w:sz w:val="28"/>
            <w:szCs w:val="28"/>
          </w:rPr>
          <w:t>29mm</w:t>
        </w:r>
      </w:smartTag>
      <w:r>
        <w:rPr>
          <w:rFonts w:ascii="宋体" w:hAnsi="宋体" w:cs="宋体" w:hint="eastAsia"/>
          <w:kern w:val="0"/>
          <w:sz w:val="28"/>
          <w:szCs w:val="28"/>
        </w:rPr>
        <w:t>及以上，长度整齐度为U1、U2、U4档，主体马克隆值级为A级、C级C2档，断裂比强度为S1、S2、S4档，轧工质量为P1档、P3档的棉花，可以替代交割。替代交割品升贴水由交易所另行制定并公告。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一个交割单位棉花按照颜色级和轧工质量比例实行分级计价。有主体颜色级的棉花，升水100元/吨。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无主体颜色级的棉花，以其中占比例最大的颜色级为标注颜色级。</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升贴水和分级计价按重新检验的结果随货款一并结算。</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N年产锯齿细绒白棉从N+1年8月1日起每日历日贴水4元/吨，至N+1年11月的第15个交易日（含该日）止。</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棉花包装及包装物应符合国家有关棉花包装规定。</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白糖交割适用国家标准及本细则规定。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白砂糖》（GB/T317—2018）（以下简称《白糖国标》）规定的一级白糖。</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（一）符合《白糖国标》的一级和二级（色值小于等于170IU）的进口白糖（含进口原糖加工而成的白糖）可以交割；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（二）色值小于等于170IU，其他指标符合《白糖国标》的二级白糖，可以在本制糖年度（每年的10月1日至次年的9月30日）的9月和该制糖年度结束后的当年11月合约替代交割，贴水标准为50元/吨。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白糖包装应符合《白糖国标》的规定。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进口白糖的标志、标签，除应含有产品名称、净含量、生产厂商名称、生产日期等内容外，其他内容不作要求。</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白糖包装有霉变、严重污染或者出现潮包、流包、真结块、有异味的，不得入库。</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精对苯二甲酸</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精对苯二甲酸（以下统称PTA）交割质量标准适用《工业用精对苯二甲酸》(GB/T32685-2016）。</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基准交割品：符合GB/T32685-2016质量标准的优等品PTA。</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基准交割品必须是经交易所认定的PTA生产厂家生产的商品。具体生产厂家由交易所公告。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交易所有权调整交割品生产厂家。</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第二十四条</w:t>
      </w:r>
      <w:r>
        <w:rPr>
          <w:rFonts w:ascii="宋体" w:eastAsia="黑体" w:hAnsi="宋体" w:cs="宋体" w:hint="eastAsia"/>
          <w:kern w:val="0"/>
          <w:sz w:val="28"/>
          <w:szCs w:val="28"/>
        </w:rPr>
        <w:t xml:space="preserve"> </w:t>
      </w:r>
      <w:r>
        <w:rPr>
          <w:rFonts w:ascii="宋体" w:hAnsi="宋体" w:cs="宋体" w:hint="eastAsia"/>
          <w:kern w:val="52"/>
          <w:sz w:val="28"/>
          <w:szCs w:val="28"/>
        </w:rPr>
        <w:t>出</w:t>
      </w:r>
      <w:r>
        <w:rPr>
          <w:rFonts w:ascii="宋体" w:hAnsi="宋体" w:cs="宋体" w:hint="eastAsia"/>
          <w:kern w:val="0"/>
          <w:sz w:val="28"/>
          <w:szCs w:val="28"/>
        </w:rPr>
        <w:t>现破包、潮包、结块、严重污染等情况的，不得入库。</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菜籽交割适用国家标准及本细则规定。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C82A51" w:rsidRDefault="00C82A51" w:rsidP="00C82A51">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C82A51" w:rsidRDefault="00C82A51" w:rsidP="00C82A51">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C82A51" w:rsidRDefault="00C82A51" w:rsidP="00C82A51">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C82A51" w:rsidRDefault="00C82A51" w:rsidP="00C82A51">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lastRenderedPageBreak/>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Pr>
            <w:rFonts w:ascii="宋体" w:hAnsi="宋体" w:cs="宋体" w:hint="eastAsia"/>
            <w:kern w:val="0"/>
            <w:sz w:val="28"/>
            <w:szCs w:val="28"/>
          </w:rPr>
          <w:t>-1250mm</w:t>
        </w:r>
      </w:smartTag>
      <w:r>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Pr>
            <w:rFonts w:ascii="宋体" w:hAnsi="宋体" w:cs="宋体" w:hint="eastAsia"/>
            <w:kern w:val="0"/>
            <w:sz w:val="28"/>
            <w:szCs w:val="28"/>
          </w:rPr>
          <w:t>-750mm</w:t>
        </w:r>
      </w:smartTag>
      <w:r>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C82A51" w:rsidRDefault="00C82A51" w:rsidP="00C82A51">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spacing w:val="-6"/>
          <w:kern w:val="52"/>
          <w:sz w:val="28"/>
          <w:szCs w:val="28"/>
        </w:rPr>
        <w:t>菜油交割</w:t>
      </w:r>
      <w:r>
        <w:rPr>
          <w:rFonts w:ascii="宋体" w:hAnsi="宋体" w:cs="宋体" w:hint="eastAsia"/>
          <w:kern w:val="0"/>
          <w:sz w:val="28"/>
          <w:szCs w:val="28"/>
        </w:rPr>
        <w:t>适用国家标准及本细则规定。</w:t>
      </w:r>
    </w:p>
    <w:p w:rsidR="00C82A51" w:rsidRPr="005E55DA" w:rsidRDefault="00C82A51" w:rsidP="00C82A51">
      <w:pPr>
        <w:widowControl/>
        <w:spacing w:line="360" w:lineRule="auto"/>
        <w:ind w:firstLineChars="200" w:firstLine="560"/>
        <w:outlineLvl w:val="3"/>
        <w:rPr>
          <w:rFonts w:ascii="宋体" w:hAnsi="宋体" w:cs="宋体"/>
          <w:kern w:val="0"/>
          <w:sz w:val="28"/>
          <w:szCs w:val="28"/>
        </w:rPr>
      </w:pPr>
      <w:r w:rsidRPr="005E55DA">
        <w:rPr>
          <w:rFonts w:ascii="宋体" w:hAnsi="宋体" w:cs="宋体" w:hint="eastAsia"/>
          <w:kern w:val="0"/>
          <w:sz w:val="28"/>
          <w:szCs w:val="28"/>
        </w:rPr>
        <w:t>基准交割品：符合《中华人民共和国国家标准 菜籽油》（</w:t>
      </w:r>
      <w:r w:rsidRPr="005E55DA">
        <w:rPr>
          <w:rFonts w:ascii="宋体" w:hAnsi="宋体" w:cs="宋体"/>
          <w:kern w:val="0"/>
          <w:sz w:val="28"/>
          <w:szCs w:val="28"/>
        </w:rPr>
        <w:t>GB</w:t>
      </w:r>
      <w:r w:rsidRPr="005E55DA">
        <w:rPr>
          <w:rFonts w:ascii="宋体" w:hAnsi="宋体" w:cs="宋体" w:hint="eastAsia"/>
          <w:kern w:val="0"/>
          <w:sz w:val="28"/>
          <w:szCs w:val="28"/>
        </w:rPr>
        <w:t>/</w:t>
      </w:r>
      <w:r w:rsidRPr="005E55DA">
        <w:rPr>
          <w:rFonts w:ascii="宋体" w:hAnsi="宋体" w:cs="宋体"/>
          <w:kern w:val="0"/>
          <w:sz w:val="28"/>
          <w:szCs w:val="28"/>
        </w:rPr>
        <w:t>T 1536</w:t>
      </w:r>
      <w:r w:rsidRPr="005E55DA">
        <w:rPr>
          <w:rFonts w:ascii="宋体" w:hAnsi="宋体" w:cs="宋体" w:hint="eastAsia"/>
          <w:kern w:val="0"/>
          <w:sz w:val="28"/>
          <w:szCs w:val="28"/>
        </w:rPr>
        <w:t>-</w:t>
      </w:r>
      <w:r w:rsidRPr="005E55DA">
        <w:rPr>
          <w:rFonts w:ascii="宋体" w:hAnsi="宋体" w:cs="宋体"/>
          <w:kern w:val="0"/>
          <w:sz w:val="28"/>
          <w:szCs w:val="28"/>
        </w:rPr>
        <w:t>2021</w:t>
      </w:r>
      <w:r w:rsidRPr="005E55DA">
        <w:rPr>
          <w:rFonts w:ascii="宋体" w:hAnsi="宋体" w:cs="宋体" w:hint="eastAsia"/>
          <w:kern w:val="0"/>
          <w:sz w:val="28"/>
          <w:szCs w:val="28"/>
        </w:rPr>
        <w:t>）浸出三级质量指标的菜油。</w:t>
      </w:r>
    </w:p>
    <w:p w:rsidR="00C82A51" w:rsidRPr="005E55DA" w:rsidRDefault="00C82A51" w:rsidP="00C82A51">
      <w:pPr>
        <w:widowControl/>
        <w:spacing w:line="360" w:lineRule="auto"/>
        <w:ind w:firstLineChars="200" w:firstLine="560"/>
        <w:outlineLvl w:val="3"/>
        <w:rPr>
          <w:rFonts w:ascii="宋体" w:hAnsi="宋体" w:cs="宋体"/>
          <w:kern w:val="0"/>
          <w:sz w:val="28"/>
          <w:szCs w:val="28"/>
        </w:rPr>
      </w:pPr>
      <w:r w:rsidRPr="005E55DA">
        <w:rPr>
          <w:rFonts w:ascii="宋体" w:hAnsi="宋体" w:cs="宋体" w:hint="eastAsia"/>
          <w:kern w:val="0"/>
          <w:sz w:val="28"/>
          <w:szCs w:val="28"/>
        </w:rPr>
        <w:t>替代品及升贴水：</w:t>
      </w:r>
    </w:p>
    <w:p w:rsidR="00C82A51" w:rsidRPr="005E55DA" w:rsidRDefault="00C82A51" w:rsidP="00C82A51">
      <w:pPr>
        <w:widowControl/>
        <w:spacing w:line="360" w:lineRule="auto"/>
        <w:ind w:firstLineChars="200" w:firstLine="560"/>
        <w:outlineLvl w:val="3"/>
        <w:rPr>
          <w:rFonts w:ascii="宋体" w:hAnsi="宋体" w:cs="宋体"/>
          <w:kern w:val="0"/>
          <w:sz w:val="28"/>
          <w:szCs w:val="28"/>
        </w:rPr>
      </w:pPr>
      <w:r w:rsidRPr="005E55DA">
        <w:rPr>
          <w:rFonts w:ascii="宋体" w:hAnsi="宋体" w:cs="宋体" w:hint="eastAsia"/>
          <w:kern w:val="0"/>
          <w:sz w:val="28"/>
          <w:szCs w:val="28"/>
        </w:rPr>
        <w:t>符合</w:t>
      </w:r>
      <w:r w:rsidRPr="005E55DA">
        <w:rPr>
          <w:rFonts w:ascii="宋体" w:hAnsi="宋体" w:cs="宋体"/>
          <w:kern w:val="0"/>
          <w:sz w:val="28"/>
          <w:szCs w:val="28"/>
        </w:rPr>
        <w:t>GB</w:t>
      </w:r>
      <w:r w:rsidRPr="005E55DA">
        <w:rPr>
          <w:rFonts w:ascii="宋体" w:hAnsi="宋体" w:cs="宋体" w:hint="eastAsia"/>
          <w:kern w:val="0"/>
          <w:sz w:val="28"/>
          <w:szCs w:val="28"/>
        </w:rPr>
        <w:t>/</w:t>
      </w:r>
      <w:r w:rsidRPr="005E55DA">
        <w:rPr>
          <w:rFonts w:ascii="宋体" w:hAnsi="宋体" w:cs="宋体"/>
          <w:kern w:val="0"/>
          <w:sz w:val="28"/>
          <w:szCs w:val="28"/>
        </w:rPr>
        <w:t>T 1536</w:t>
      </w:r>
      <w:r w:rsidRPr="005E55DA">
        <w:rPr>
          <w:rFonts w:ascii="宋体" w:hAnsi="宋体" w:cs="宋体" w:hint="eastAsia"/>
          <w:kern w:val="0"/>
          <w:sz w:val="28"/>
          <w:szCs w:val="28"/>
        </w:rPr>
        <w:t>-</w:t>
      </w:r>
      <w:r w:rsidRPr="005E55DA">
        <w:rPr>
          <w:rFonts w:ascii="宋体" w:hAnsi="宋体" w:cs="宋体"/>
          <w:kern w:val="0"/>
          <w:sz w:val="28"/>
          <w:szCs w:val="28"/>
        </w:rPr>
        <w:t>2021</w:t>
      </w:r>
      <w:r w:rsidRPr="005E55DA">
        <w:rPr>
          <w:rFonts w:ascii="宋体" w:hAnsi="宋体" w:cs="宋体" w:hint="eastAsia"/>
          <w:kern w:val="0"/>
          <w:sz w:val="28"/>
          <w:szCs w:val="28"/>
        </w:rPr>
        <w:t>规定的浸出一</w:t>
      </w:r>
      <w:r>
        <w:rPr>
          <w:rFonts w:ascii="宋体" w:hAnsi="宋体" w:cs="宋体" w:hint="eastAsia"/>
          <w:kern w:val="0"/>
          <w:sz w:val="28"/>
          <w:szCs w:val="28"/>
        </w:rPr>
        <w:t>级、二级或压榨一级、二级质量指标的菜油可以替代交割，无升贴水。</w:t>
      </w:r>
    </w:p>
    <w:p w:rsidR="00C82A51" w:rsidRPr="005E55DA"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sidRPr="005E55DA">
        <w:rPr>
          <w:rFonts w:ascii="宋体" w:hAnsi="宋体" w:cs="宋体" w:hint="eastAsia"/>
          <w:kern w:val="0"/>
          <w:sz w:val="28"/>
          <w:szCs w:val="28"/>
        </w:rPr>
        <w:t>菜油入库时，酸价不得超过</w:t>
      </w:r>
      <w:r w:rsidRPr="005E55DA">
        <w:rPr>
          <w:rFonts w:ascii="宋体" w:hAnsi="宋体" w:cs="宋体"/>
          <w:kern w:val="0"/>
          <w:sz w:val="28"/>
          <w:szCs w:val="28"/>
        </w:rPr>
        <w:t>2</w:t>
      </w:r>
      <w:r w:rsidRPr="005E55DA">
        <w:rPr>
          <w:rFonts w:ascii="宋体" w:hAnsi="宋体" w:cs="宋体" w:hint="eastAsia"/>
          <w:kern w:val="0"/>
          <w:sz w:val="28"/>
          <w:szCs w:val="28"/>
        </w:rPr>
        <w:t>.</w:t>
      </w:r>
      <w:r w:rsidRPr="005E55DA">
        <w:rPr>
          <w:rFonts w:ascii="宋体" w:hAnsi="宋体" w:cs="宋体"/>
          <w:kern w:val="0"/>
          <w:sz w:val="28"/>
          <w:szCs w:val="28"/>
        </w:rPr>
        <w:t>3mg</w:t>
      </w:r>
      <w:r w:rsidRPr="005E55DA">
        <w:rPr>
          <w:rFonts w:ascii="宋体" w:hAnsi="宋体" w:cs="宋体" w:hint="eastAsia"/>
          <w:kern w:val="0"/>
          <w:sz w:val="28"/>
          <w:szCs w:val="28"/>
        </w:rPr>
        <w:t>/</w:t>
      </w:r>
      <w:r w:rsidRPr="005E55DA">
        <w:rPr>
          <w:rFonts w:ascii="宋体" w:hAnsi="宋体" w:cs="宋体"/>
          <w:kern w:val="0"/>
          <w:sz w:val="28"/>
          <w:szCs w:val="28"/>
        </w:rPr>
        <w:t>g</w:t>
      </w:r>
      <w:r w:rsidRPr="005E55DA">
        <w:rPr>
          <w:rFonts w:ascii="宋体" w:hAnsi="宋体" w:cs="宋体" w:hint="eastAsia"/>
          <w:kern w:val="0"/>
          <w:sz w:val="28"/>
          <w:szCs w:val="28"/>
        </w:rPr>
        <w:t>，过氧化值不得超过</w:t>
      </w:r>
      <w:r w:rsidRPr="005E55DA">
        <w:rPr>
          <w:rFonts w:ascii="宋体" w:hAnsi="宋体" w:cs="宋体"/>
          <w:kern w:val="0"/>
          <w:sz w:val="28"/>
          <w:szCs w:val="28"/>
        </w:rPr>
        <w:t>0</w:t>
      </w:r>
      <w:r w:rsidRPr="005E55DA">
        <w:rPr>
          <w:rFonts w:ascii="宋体" w:hAnsi="宋体" w:cs="宋体" w:hint="eastAsia"/>
          <w:kern w:val="0"/>
          <w:sz w:val="28"/>
          <w:szCs w:val="28"/>
        </w:rPr>
        <w:t>.</w:t>
      </w:r>
      <w:r w:rsidRPr="005E55DA">
        <w:rPr>
          <w:rFonts w:ascii="宋体" w:hAnsi="宋体" w:cs="宋体"/>
          <w:kern w:val="0"/>
          <w:sz w:val="28"/>
          <w:szCs w:val="28"/>
        </w:rPr>
        <w:t>10g</w:t>
      </w:r>
      <w:r w:rsidRPr="005E55DA">
        <w:rPr>
          <w:rFonts w:ascii="宋体" w:hAnsi="宋体" w:cs="宋体" w:hint="eastAsia"/>
          <w:kern w:val="0"/>
          <w:sz w:val="28"/>
          <w:szCs w:val="28"/>
        </w:rPr>
        <w:t>/</w:t>
      </w:r>
      <w:r w:rsidRPr="005E55DA">
        <w:rPr>
          <w:rFonts w:ascii="宋体" w:hAnsi="宋体" w:cs="宋体"/>
          <w:kern w:val="0"/>
          <w:sz w:val="28"/>
          <w:szCs w:val="28"/>
        </w:rPr>
        <w:t>100g</w:t>
      </w:r>
      <w:r w:rsidRPr="005E55DA">
        <w:rPr>
          <w:rFonts w:ascii="宋体" w:hAnsi="宋体" w:cs="宋体" w:hint="eastAsia"/>
          <w:kern w:val="0"/>
          <w:sz w:val="28"/>
          <w:szCs w:val="28"/>
        </w:rPr>
        <w:t>。</w:t>
      </w:r>
    </w:p>
    <w:p w:rsidR="00C82A51" w:rsidRDefault="00C82A51" w:rsidP="00C82A51">
      <w:pPr>
        <w:widowControl/>
        <w:spacing w:line="360" w:lineRule="auto"/>
        <w:ind w:firstLineChars="200" w:firstLine="560"/>
        <w:outlineLvl w:val="3"/>
        <w:rPr>
          <w:rFonts w:ascii="宋体" w:hAnsi="宋体" w:cs="宋体"/>
          <w:kern w:val="0"/>
          <w:sz w:val="28"/>
          <w:szCs w:val="28"/>
        </w:rPr>
      </w:pPr>
      <w:r w:rsidRPr="005E55DA">
        <w:rPr>
          <w:rFonts w:ascii="宋体" w:hAnsi="宋体" w:cs="宋体" w:hint="eastAsia"/>
          <w:kern w:val="0"/>
          <w:sz w:val="28"/>
          <w:szCs w:val="28"/>
        </w:rPr>
        <w:t>菜油出库时，酸价不得超过</w:t>
      </w:r>
      <w:r w:rsidRPr="005E55DA">
        <w:rPr>
          <w:rFonts w:ascii="宋体" w:hAnsi="宋体" w:cs="宋体"/>
          <w:kern w:val="0"/>
          <w:sz w:val="28"/>
          <w:szCs w:val="28"/>
        </w:rPr>
        <w:t>3</w:t>
      </w:r>
      <w:r w:rsidRPr="005E55DA">
        <w:rPr>
          <w:rFonts w:ascii="宋体" w:hAnsi="宋体" w:cs="宋体" w:hint="eastAsia"/>
          <w:kern w:val="0"/>
          <w:sz w:val="28"/>
          <w:szCs w:val="28"/>
        </w:rPr>
        <w:t>.</w:t>
      </w:r>
      <w:r w:rsidRPr="005E55DA">
        <w:rPr>
          <w:rFonts w:ascii="宋体" w:hAnsi="宋体" w:cs="宋体"/>
          <w:kern w:val="0"/>
          <w:sz w:val="28"/>
          <w:szCs w:val="28"/>
        </w:rPr>
        <w:t>0mg</w:t>
      </w:r>
      <w:r w:rsidRPr="005E55DA">
        <w:rPr>
          <w:rFonts w:ascii="宋体" w:hAnsi="宋体" w:cs="宋体" w:hint="eastAsia"/>
          <w:kern w:val="0"/>
          <w:sz w:val="28"/>
          <w:szCs w:val="28"/>
        </w:rPr>
        <w:t>/</w:t>
      </w:r>
      <w:r w:rsidRPr="005E55DA">
        <w:rPr>
          <w:rFonts w:ascii="宋体" w:hAnsi="宋体" w:cs="宋体"/>
          <w:kern w:val="0"/>
          <w:sz w:val="28"/>
          <w:szCs w:val="28"/>
        </w:rPr>
        <w:t>g</w:t>
      </w:r>
      <w:r w:rsidRPr="005E55DA">
        <w:rPr>
          <w:rFonts w:ascii="宋体" w:hAnsi="宋体" w:cs="宋体" w:hint="eastAsia"/>
          <w:kern w:val="0"/>
          <w:sz w:val="28"/>
          <w:szCs w:val="28"/>
        </w:rPr>
        <w:t>，过氧化值不得超过</w:t>
      </w:r>
      <w:r w:rsidRPr="005E55DA">
        <w:rPr>
          <w:rFonts w:ascii="宋体" w:hAnsi="宋体" w:cs="宋体"/>
          <w:kern w:val="0"/>
          <w:sz w:val="28"/>
          <w:szCs w:val="28"/>
        </w:rPr>
        <w:t>0</w:t>
      </w:r>
      <w:r w:rsidRPr="005E55DA">
        <w:rPr>
          <w:rFonts w:ascii="宋体" w:hAnsi="宋体" w:cs="宋体" w:hint="eastAsia"/>
          <w:kern w:val="0"/>
          <w:sz w:val="28"/>
          <w:szCs w:val="28"/>
        </w:rPr>
        <w:t>.</w:t>
      </w:r>
      <w:r w:rsidRPr="005E55DA">
        <w:rPr>
          <w:rFonts w:ascii="宋体" w:hAnsi="宋体" w:cs="宋体"/>
          <w:kern w:val="0"/>
          <w:sz w:val="28"/>
          <w:szCs w:val="28"/>
        </w:rPr>
        <w:t>16g</w:t>
      </w:r>
      <w:r w:rsidRPr="005E55DA">
        <w:rPr>
          <w:rFonts w:ascii="宋体" w:hAnsi="宋体" w:cs="宋体" w:hint="eastAsia"/>
          <w:kern w:val="0"/>
          <w:sz w:val="28"/>
          <w:szCs w:val="28"/>
        </w:rPr>
        <w:t>/</w:t>
      </w:r>
      <w:r w:rsidRPr="005E55DA">
        <w:rPr>
          <w:rFonts w:ascii="宋体" w:hAnsi="宋体" w:cs="宋体"/>
          <w:kern w:val="0"/>
          <w:sz w:val="28"/>
          <w:szCs w:val="28"/>
        </w:rPr>
        <w:t>100g</w:t>
      </w:r>
      <w:r w:rsidRPr="005E55DA">
        <w:rPr>
          <w:rFonts w:ascii="宋体" w:hAnsi="宋体" w:cs="宋体" w:hint="eastAsia"/>
          <w:kern w:val="0"/>
          <w:sz w:val="28"/>
          <w:szCs w:val="28"/>
        </w:rPr>
        <w:t>。</w:t>
      </w:r>
    </w:p>
    <w:p w:rsidR="00C82A51" w:rsidRDefault="00C82A51" w:rsidP="00C82A51">
      <w:pPr>
        <w:widowControl/>
        <w:spacing w:line="360" w:lineRule="auto"/>
        <w:ind w:firstLineChars="200" w:firstLine="560"/>
        <w:jc w:val="center"/>
        <w:outlineLvl w:val="3"/>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菜粕交割标准适用于国家标准及本细则规定。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饲料用菜籽粕》（GB/T 23736-2009）（以下简称《菜粕国标》）四级质量指标、氢</w:t>
      </w:r>
      <w:r>
        <w:rPr>
          <w:rFonts w:ascii="宋体" w:hAnsi="宋体" w:cs="宋体" w:hint="eastAsia"/>
          <w:kern w:val="0"/>
          <w:sz w:val="28"/>
          <w:szCs w:val="28"/>
        </w:rPr>
        <w:lastRenderedPageBreak/>
        <w:t>氧化钾蛋白质溶解度不低于35.0%的菜粕，粗脂肪和赖氨酸指标不作要求。</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（二）符合基准交割品质量规定要求的进口菜粕可以替代交割，贴水50元/吨；符合第（一）项替代品质量规定要求的进口菜粕可以替代交割，再行贴水50元/吨；进口菜粕形状不作要求，进口原产地见交易所公告。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（三）95型菜粕不允许交割。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同一客户同一批次交割的菜粕包装要求规格统一。</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进口菜粕采取厂库交割方式，储存和出库采用散装方式。</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lastRenderedPageBreak/>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早籼稻交割适用国家标准、国家相关规定及本细则规定。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稻谷》（GB1350－2009）的三等及以上等级质量指标的早籼稻谷。</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（一）早籼稻入库时：水分≤13.5%的，足量入库；13.5%&lt;水分≤14.5%的，以13.5%为基准，水分每超0.1%，扣</w:t>
      </w:r>
      <w:r>
        <w:rPr>
          <w:rFonts w:ascii="宋体" w:hAnsi="宋体" w:cs="宋体" w:hint="eastAsia"/>
          <w:spacing w:val="-6"/>
          <w:kern w:val="0"/>
          <w:sz w:val="28"/>
          <w:szCs w:val="28"/>
        </w:rPr>
        <w:t>量0.2%。早籼稻出库时：水分&lt;13.5%的，足量出库</w:t>
      </w:r>
      <w:r>
        <w:rPr>
          <w:rFonts w:ascii="宋体" w:hAnsi="宋体" w:cs="宋体" w:hint="eastAsia"/>
          <w:kern w:val="0"/>
          <w:sz w:val="28"/>
          <w:szCs w:val="28"/>
        </w:rPr>
        <w:t>；13.5%＜水分≤14.5%的，以13.5%为基准，水分每超0.1%，补量0.2%，由仓库承担。（仅适用于江西、湖南、湖北等主产区）</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（二）1.0%＜杂质≤1.5%的，入库扣量（出库补量）0.5%；1.5%＜杂质≤2.0%的，入库扣量（出库补量）1%。</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（一）入库时，脂肪酸值≤19mg/100g（干基）且黄粒米≤0.5%的，升贴水为零；出库时，脂肪酸值≤22mg/100g（干基）且黄粒米＜0.7%。</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C82A51" w:rsidRDefault="00C82A51" w:rsidP="00C82A51">
      <w:pPr>
        <w:widowControl/>
        <w:spacing w:line="360" w:lineRule="auto"/>
        <w:ind w:firstLineChars="200" w:firstLine="560"/>
        <w:outlineLvl w:val="3"/>
        <w:rPr>
          <w:rFonts w:ascii="宋体" w:hAnsi="宋体" w:cs="宋体"/>
          <w:kern w:val="0"/>
          <w:sz w:val="28"/>
          <w:szCs w:val="28"/>
        </w:rPr>
      </w:pP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lastRenderedPageBreak/>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晚籼稻</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晚籼稻（含中籼稻，下同）交割适用国家标准、国家相关规定及本细则规定。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 1350-2009）三等及以上等级质量指标的晚籼稻，整精米率≥52%，水分含量≤14.5%，谷外糙米含量≤4%，垩白度≤2%，长宽比≥3.1，粒长≥5.6mm且异品种率≤7%。</w:t>
      </w:r>
    </w:p>
    <w:p w:rsidR="00C82A51" w:rsidRDefault="00C82A51" w:rsidP="00C82A51">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替代品及升贴水：晚籼稻各质量指标与基准交割品差异符合以下规定的，可以通过升贴水替代交割。</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晚籼稻入库时：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本款仅适用于江西、湖南、湖北、安徽等主产区）</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（二）1.0%＜杂质含量≤1.5%的，入库扣量（出库补量）0.5%；1.5%＜杂质含量≤2.0%的，入库扣量（出库补量）1.0%。</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（三）2.8≤长宽比＜3.1，其他指标符合基准交割品要求的，可替代交割。升贴水由交易所另行公告。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每年10月1日起至次年3月31日止入库的晚籼稻，脂肪酸值不得高于17mg/100g（干基），黄粒米含量不得高于0.3%；其他时间入库的晚籼稻，脂肪酸值不得高于19mg/100g（干基），黄粒米含量不得高于0.5%。</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厂库仓单出库时，脂肪酸值和黄粒米指标按对应期间入库规定执行。</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Pr>
          <w:rFonts w:ascii="宋体" w:hAnsi="宋体" w:cs="宋体" w:hint="eastAsia"/>
          <w:kern w:val="0"/>
          <w:sz w:val="28"/>
          <w:szCs w:val="28"/>
        </w:rPr>
        <w:t>。</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粳稻</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粳稻交割适用国家标准、国家相关规定及本细则规定。</w:t>
      </w:r>
    </w:p>
    <w:p w:rsidR="00C82A51" w:rsidRDefault="00C82A51" w:rsidP="00C82A51">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0"/>
          <w:sz w:val="28"/>
          <w:szCs w:val="28"/>
        </w:rPr>
        <w:t>基准交割品：符合《中华人民共和国国家标准 稻谷》（GB1350-2009，以下简称《稻谷国标》）</w:t>
      </w:r>
      <w:r>
        <w:rPr>
          <w:rFonts w:ascii="宋体" w:hAnsi="宋体" w:cs="宋体" w:hint="eastAsia"/>
          <w:kern w:val="52"/>
          <w:sz w:val="28"/>
          <w:szCs w:val="28"/>
        </w:rPr>
        <w:t>的二等粳稻谷</w:t>
      </w:r>
      <w:r>
        <w:rPr>
          <w:rFonts w:ascii="宋体" w:hAnsi="宋体" w:cs="宋体" w:hint="eastAsia"/>
          <w:kern w:val="0"/>
          <w:sz w:val="28"/>
          <w:szCs w:val="28"/>
        </w:rPr>
        <w:t>，且垩白粒率≤30%。</w:t>
      </w:r>
    </w:p>
    <w:p w:rsidR="00C82A51" w:rsidRDefault="00C82A51" w:rsidP="00C82A51">
      <w:pPr>
        <w:widowControl/>
        <w:spacing w:line="360" w:lineRule="auto"/>
        <w:ind w:firstLineChars="200" w:firstLine="560"/>
        <w:outlineLvl w:val="3"/>
        <w:rPr>
          <w:rFonts w:ascii="仿宋_GB2312" w:eastAsia="仿宋_GB2312" w:hAnsi="宋体" w:cs="宋体"/>
          <w:kern w:val="52"/>
          <w:sz w:val="28"/>
          <w:szCs w:val="28"/>
        </w:rPr>
      </w:pPr>
      <w:r>
        <w:rPr>
          <w:rFonts w:ascii="宋体" w:hAnsi="宋体" w:cs="宋体" w:hint="eastAsia"/>
          <w:kern w:val="52"/>
          <w:sz w:val="28"/>
          <w:szCs w:val="28"/>
        </w:rPr>
        <w:lastRenderedPageBreak/>
        <w:t>替代品及升贴水：粳稻各质量指标与基准交割品差异符合以下规定的，可以通过升贴水替代交割。</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（一）出糙率和整精米率指标符合《稻谷国标》一等和三等质量指标要求的，一等升水60元/吨，三等贴水80元/吨。</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（二）粳</w:t>
      </w:r>
      <w:r>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（三）1.0%＜杂质≤1.5%的，入库扣量（出库补量）0.5%；1.5%＜杂质≤2.0%的，入库扣量（出库补量）1.0%。</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（四）30%＜垩白粒率≤40%的，贴水50元/吨；垩白粒率＞40%的，贴水100元/吨。</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（五）2.0%＜谷外糙米≤4.0%的，升贴水为零（仅适用于黑龙江、吉林、辽宁三省）。</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C82A51" w:rsidRDefault="00C82A51" w:rsidP="00C82A51">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lastRenderedPageBreak/>
        <w:t>厂库仓单出库时，脂肪酸值和黄粒米指标按对应期间入库规定执行。</w:t>
      </w:r>
    </w:p>
    <w:p w:rsidR="00C82A51" w:rsidRDefault="00C82A51" w:rsidP="00C82A51">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52"/>
          <w:sz w:val="28"/>
          <w:szCs w:val="28"/>
        </w:rPr>
        <w:t>垩白粒率的</w:t>
      </w:r>
      <w:r>
        <w:rPr>
          <w:rFonts w:ascii="宋体" w:hAnsi="宋体" w:cs="宋体" w:hint="eastAsia"/>
          <w:kern w:val="0"/>
          <w:sz w:val="28"/>
          <w:szCs w:val="28"/>
        </w:rPr>
        <w:t>检验按照《中华人民共和国国家标准 优质稻谷》（GB/T17891－1</w:t>
      </w:r>
      <w:r>
        <w:rPr>
          <w:rFonts w:ascii="宋体" w:hAnsi="宋体" w:cs="宋体" w:hint="eastAsia"/>
          <w:kern w:val="52"/>
          <w:sz w:val="28"/>
          <w:szCs w:val="28"/>
        </w:rPr>
        <w:t>999）</w:t>
      </w:r>
      <w:r>
        <w:rPr>
          <w:rFonts w:ascii="宋体" w:hAnsi="宋体" w:cs="宋体" w:hint="eastAsia"/>
          <w:kern w:val="0"/>
          <w:sz w:val="28"/>
          <w:szCs w:val="28"/>
        </w:rPr>
        <w:t>中的规定</w:t>
      </w:r>
      <w:r>
        <w:rPr>
          <w:rFonts w:ascii="宋体" w:hAnsi="宋体" w:cs="宋体" w:hint="eastAsia"/>
          <w:kern w:val="52"/>
          <w:sz w:val="28"/>
          <w:szCs w:val="28"/>
        </w:rPr>
        <w:t>执行。</w:t>
      </w:r>
      <w:r>
        <w:rPr>
          <w:rFonts w:ascii="宋体" w:hAnsi="宋体" w:cs="宋体" w:hint="eastAsia"/>
          <w:kern w:val="0"/>
          <w:sz w:val="28"/>
          <w:szCs w:val="28"/>
        </w:rPr>
        <w:t>脂肪酸值的检验按照《稻谷储存品质判定规则》（GB/T20569－2006）中的规定执行。</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甲醇交割适用国家标准及本细则规定。</w:t>
      </w:r>
    </w:p>
    <w:p w:rsidR="00C82A51" w:rsidRDefault="00C82A51" w:rsidP="00C82A51">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基准交割品：符合《中华人民共和国国家标准 工业用甲醇》（GB 338-2004）规定的优等品甲醇，其中“乙醇的质量分数”指标不作要求。</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玻璃</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玻璃交割适用国家标准及本细则规定。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平板玻璃》（GB 11614-2009）（以下简称“国标”）的5mm无色透明平板玻璃（规格为3.66m×2.44m）一等品。</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替代品及升贴水：符合国标规定的6mm无色透明平板玻璃（规格为3.66m×2.44m）一等品，无升贴水。</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动力煤</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交</w:t>
      </w:r>
      <w:r>
        <w:rPr>
          <w:rFonts w:ascii="宋体" w:hAnsi="宋体" w:cs="宋体" w:hint="eastAsia"/>
          <w:kern w:val="0"/>
          <w:sz w:val="28"/>
          <w:szCs w:val="28"/>
        </w:rPr>
        <w:t>割单位：20000吨。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以船舶接货时，单船重量溢短范围为±500吨（含）以内。在重量溢短规定范围内，交易所依据实际重量进行结算。溢货超出规定范</w:t>
      </w:r>
      <w:r>
        <w:rPr>
          <w:rFonts w:ascii="宋体" w:hAnsi="宋体" w:cs="宋体" w:hint="eastAsia"/>
          <w:kern w:val="0"/>
          <w:sz w:val="28"/>
          <w:szCs w:val="28"/>
        </w:rPr>
        <w:lastRenderedPageBreak/>
        <w:t>围的，买卖双方对超出部分协商解决并自行结算。短货超出规定范围的，卖方需及时补装至规定范围以内；无法补装的，在计算货款时，交易所对短货超出规定范围的部分双倍扣减；双方协商一致的除外。</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短货超出规定范围时双倍扣减的计算公式为：单船结算重量=应交重量-500-（应交重量-500-实测重量）×2。</w:t>
      </w:r>
    </w:p>
    <w:p w:rsidR="00C82A51" w:rsidRDefault="00C82A51" w:rsidP="00C82A51">
      <w:pPr>
        <w:widowControl/>
        <w:spacing w:line="360" w:lineRule="auto"/>
        <w:ind w:firstLineChars="200" w:firstLine="560"/>
        <w:outlineLvl w:val="3"/>
        <w:rPr>
          <w:rFonts w:ascii="宋体" w:hAnsi="宋体" w:cs="宋体"/>
          <w:spacing w:val="-6"/>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spacing w:val="-6"/>
          <w:kern w:val="0"/>
          <w:sz w:val="28"/>
          <w:szCs w:val="28"/>
        </w:rPr>
        <w:t>动力煤交割检验指标检测方法适用国家相关标准。</w:t>
      </w:r>
    </w:p>
    <w:p w:rsidR="00C82A51" w:rsidRDefault="00C82A51" w:rsidP="00C82A51">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基准交割品：收到基低位发热量为5500千卡/千克，干燥基全硫≤0.8%，30%≤干燥无灰基挥发分≤42%，干燥基灰分≤30%，全水≤25%的动力煤。</w:t>
      </w:r>
    </w:p>
    <w:p w:rsidR="00C82A51" w:rsidRDefault="00C82A51" w:rsidP="00C82A51">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替代品及升贴水：收到基低位发热量≥4300千卡/千克，干燥基全硫≤1.5%，30%≤干燥无灰基挥发分≤42%，干燥基灰分≤30%的动力煤。</w:t>
      </w:r>
    </w:p>
    <w:p w:rsidR="00C82A51" w:rsidRDefault="00C82A51" w:rsidP="00C82A51">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4300千卡/千克≤收到基低位发热量＜4800千卡/千克时，货款结算价（四舍五入，保留小数点后两位）=交割结算价×0.7687/4500×实测发热量；4800千卡/千克≤收到基低位发热量＜5300千卡/千克时，货款结算价（四舍五入，保留小数点后两位）=交割结算价×0.8768/5000×实测发热量；收到基低位发热量≥5300千卡/千克时，货款结算价（四舍五入，保留小数点后两位）=交割结算价/5500×实测发热量；收到基低位发热量超过6000千卡/千克的，按6000千卡/千克计算货款。</w:t>
      </w:r>
    </w:p>
    <w:p w:rsidR="00C82A51" w:rsidRDefault="00C82A51" w:rsidP="00C82A51">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t>0.8%＜干燥基全硫≤1.5%时，以0.8%为基准，每高0.1（四舍五入，保留小数点后一位）个百分点，贴水4元/吨。</w:t>
      </w:r>
    </w:p>
    <w:p w:rsidR="00C82A51" w:rsidRDefault="00C82A51" w:rsidP="00C82A51">
      <w:pPr>
        <w:widowControl/>
        <w:ind w:firstLineChars="200" w:firstLine="536"/>
        <w:rPr>
          <w:rFonts w:ascii="宋体" w:hAnsi="宋体" w:cs="宋体"/>
          <w:spacing w:val="-6"/>
          <w:kern w:val="0"/>
          <w:sz w:val="28"/>
          <w:szCs w:val="28"/>
        </w:rPr>
      </w:pPr>
      <w:r>
        <w:rPr>
          <w:rFonts w:ascii="宋体" w:hAnsi="宋体" w:cs="宋体" w:hint="eastAsia"/>
          <w:spacing w:val="-6"/>
          <w:kern w:val="0"/>
          <w:sz w:val="28"/>
          <w:szCs w:val="28"/>
        </w:rPr>
        <w:lastRenderedPageBreak/>
        <w:t>全水＞25%的动力煤可以交割。全水＞25%时，以25%为基准，按照超出部分（四舍五入，保留小数点后一位）扣减重量（例如，实测全水为26.32%，扣重1.3%）。</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硅铁交割适用国家标准及本细则规定。</w:t>
      </w:r>
    </w:p>
    <w:p w:rsidR="00C82A51" w:rsidRDefault="00C82A51" w:rsidP="00C82A51">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硅铁》（GB/T 2272-2020）规定牌号为PG FeSi72Al2.5（硅含量≥72.0%、磷含量≤0.04%、硫含量≤0.02%、碳含量≤0.2%）、粒度为10-60mm的硅铁，其中：锰、铬、铝、钛含量不作要求；粒度偏差筛下物不大于5%，筛上物不大于8%。</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硅铁交割品包装物采用双层、中间加固拦腰围带的塑料编织袋。包装袋上应标明产品名称、产品牌号、执行标准及生产企业名称。在质检批次内，平均单包净重为1000±10公斤。</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硅铁交割品按照净重结算，包装物按照2.5公斤/条标准扣除重量，包装物价格包含在硅铁合约价格中。</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锰硅交割适用国家标准及本细则规定。</w:t>
      </w:r>
    </w:p>
    <w:p w:rsidR="00C82A51" w:rsidRDefault="00C82A51" w:rsidP="00C82A51">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锰硅合金》（GB/T 4008—2008）规定牌号为FeMn68Si18（锰含量≥65.0%、硅含量≥17.0%、碳</w:t>
      </w:r>
      <w:r>
        <w:rPr>
          <w:rFonts w:ascii="宋体" w:hAnsi="宋体" w:cs="宋体" w:hint="eastAsia"/>
          <w:spacing w:val="-6"/>
          <w:kern w:val="0"/>
          <w:sz w:val="28"/>
          <w:szCs w:val="28"/>
        </w:rPr>
        <w:lastRenderedPageBreak/>
        <w:t>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Pr>
            <w:rFonts w:ascii="宋体" w:hAnsi="宋体" w:cs="宋体" w:hint="eastAsia"/>
            <w:spacing w:val="-6"/>
            <w:kern w:val="0"/>
            <w:sz w:val="28"/>
            <w:szCs w:val="28"/>
          </w:rPr>
          <w:t>-60mm</w:t>
        </w:r>
      </w:smartTag>
      <w:r>
        <w:rPr>
          <w:rFonts w:ascii="宋体" w:hAnsi="宋体" w:cs="宋体" w:hint="eastAsia"/>
          <w:spacing w:val="-6"/>
          <w:kern w:val="0"/>
          <w:sz w:val="28"/>
          <w:szCs w:val="28"/>
        </w:rPr>
        <w:t>的锰硅，其中：粒度偏差筛下物不大于5%，筛上物不大于8%。</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锰硅交割品包装物采用双层、中间加固拦腰围带的塑料编织袋。包装袋上应标明产品名称、产品牌号、执行标准及生产企业名称。在质检批次内，平均单包净重为1000±10公斤。</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锰硅交割品按照净重结算，包装物按照2公斤/条标准扣除重量，包装物价格包含在锰硅合约价格中。</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交割单位：20吨（公定重量）。同一交割单位内的交割商品应满足同一生产厂家要求。</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棉纱交割适用国家标准及本细则规定。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（一）12.0 cN/tex≤单纱断裂强度＜14.0 cN/tex及14.7 cN/tex≤单纱断裂强度≤16.2 cN/tex；</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（二）7.5%＜单纱断裂强力变异系数＜8.5%及9.0%＜单纱断裂强力变异系数≤10.5%；</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（三）异性纤维含量≤38处/20kg及81处/20kg＜异性纤维含量≤200处/20kg（对应折算异性纤维含量≤7处/200km及15处/200km＜异性纤维含量≤37处/200km）。</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替代交割品升贴水由交易所另行制定并公告。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w:t>
      </w:r>
    </w:p>
    <w:p w:rsidR="00C82A51" w:rsidRDefault="00C82A51" w:rsidP="00C82A5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C82A51" w:rsidRDefault="00C82A51" w:rsidP="00C82A51">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苹果交割适用国家标准、国家相关规定及本细则规定。</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基准交割品：符合《中华人民共和国国家标准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C82A51" w:rsidRDefault="00C82A51" w:rsidP="00C82A51">
      <w:pPr>
        <w:widowControl/>
        <w:spacing w:line="360" w:lineRule="auto"/>
        <w:ind w:firstLineChars="202" w:firstLine="566"/>
        <w:rPr>
          <w:rFonts w:ascii="宋体" w:hAnsi="宋体" w:cs="宋体"/>
          <w:strike/>
          <w:kern w:val="0"/>
          <w:sz w:val="28"/>
          <w:szCs w:val="28"/>
        </w:rPr>
      </w:pPr>
      <w:r>
        <w:rPr>
          <w:rFonts w:ascii="宋体" w:hAnsi="宋体" w:cs="宋体" w:hint="eastAsia"/>
          <w:kern w:val="0"/>
          <w:sz w:val="28"/>
          <w:szCs w:val="28"/>
        </w:rPr>
        <w:t>替代品及升贴水：</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（二）符合《苹果国标》一等及以上等级质量指标且75mm≤果径＜80mm的红富士苹果，其中果径容许度≤5%，质量容许度≤20%（虫</w:t>
      </w:r>
      <w:r>
        <w:rPr>
          <w:rFonts w:ascii="宋体" w:hAnsi="宋体" w:cs="宋体" w:hint="eastAsia"/>
          <w:kern w:val="0"/>
          <w:sz w:val="28"/>
          <w:szCs w:val="28"/>
        </w:rPr>
        <w:lastRenderedPageBreak/>
        <w:t>伤计入质量容许度，磨伤、碰压伤、刺伤不合格果之和占比不做要求），可溶性固形物≥12.5%，贴水1500元/吨。</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三）符合《苹果国标》一等及以上等级质量指标且75mm≤果径＜80mm的红富士苹果，其中果径容许度≤5%，20%＜质量容许度≤25%（虫伤计入质量容许度，磨伤、碰压伤、刺伤不合格果之和占比不做要求），可溶性固形物≥12.5%，贴水2000元/吨。</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未发生褐变的水心病苹果不计入不合格果。</w:t>
      </w:r>
    </w:p>
    <w:p w:rsidR="00C82A51" w:rsidRDefault="00C82A51" w:rsidP="00C82A5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入出库硬度指标规定如下：</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（一）苹果入库硬度不得低于7kgf/cm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（二）每年10月1日至次年2月10日（含该日）出库的苹果，硬度不得低于6.2kgf/cm</w:t>
      </w:r>
      <w:r>
        <w:rPr>
          <w:rFonts w:ascii="宋体" w:hAnsi="宋体" w:cs="宋体" w:hint="eastAsia"/>
          <w:kern w:val="0"/>
          <w:sz w:val="28"/>
          <w:szCs w:val="28"/>
          <w:vertAlign w:val="superscript"/>
        </w:rPr>
        <w:t>2</w:t>
      </w:r>
      <w:r>
        <w:rPr>
          <w:rFonts w:ascii="宋体" w:hAnsi="宋体" w:cs="宋体" w:hint="eastAsia"/>
          <w:kern w:val="0"/>
          <w:sz w:val="28"/>
          <w:szCs w:val="28"/>
        </w:rPr>
        <w:t>;其他时间出库的苹果,硬度不得低于6kgf/cm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车(船)板交货时按出库处理。</w:t>
      </w:r>
    </w:p>
    <w:p w:rsidR="00C82A51" w:rsidRDefault="00C82A51" w:rsidP="00C82A51">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 xml:space="preserve">第六十五条 </w:t>
      </w:r>
      <w:r>
        <w:rPr>
          <w:rFonts w:ascii="宋体" w:hAnsi="宋体" w:cs="宋体" w:hint="eastAsia"/>
          <w:kern w:val="0"/>
          <w:sz w:val="28"/>
          <w:szCs w:val="28"/>
        </w:rPr>
        <w:t>苹果交割品采用抽筐（箱）检斤方式验重,按以下公式计算货物重量：</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货物重量=（抽取苹果总毛重-抽取装果容器的总重量）/抽取件数×货物件数。</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同一客户同一批次交割的装果容器要求规格统一。</w:t>
      </w:r>
    </w:p>
    <w:p w:rsidR="00C82A51" w:rsidRDefault="00C82A51" w:rsidP="00C82A51">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w:t>
      </w:r>
    </w:p>
    <w:p w:rsidR="00C82A51" w:rsidRDefault="00C82A51" w:rsidP="00C82A5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交割单位：5吨。同一交割单位内的交割商品应满足同一生产厂家要求。</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红枣交割适用国家标准、国家相关规定及本细则规定。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干基总糖含量=</w:t>
      </w:r>
      <w:r w:rsidRPr="00032331">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35pt;height:48.4pt" equationxml="&lt;">
            <v:imagedata r:id="rId6" o:title="" chromakey="white"/>
          </v:shape>
        </w:pict>
      </w:r>
      <w:r>
        <w:rPr>
          <w:rFonts w:ascii="宋体" w:hAnsi="宋体" w:cs="宋体" w:hint="eastAsia"/>
          <w:kern w:val="0"/>
          <w:sz w:val="28"/>
          <w:szCs w:val="28"/>
        </w:rPr>
        <w:t>，均匀度允差=</w:t>
      </w:r>
      <w:r w:rsidRPr="00032331">
        <w:rPr>
          <w:position w:val="-35"/>
        </w:rPr>
        <w:pict>
          <v:shape id="_x0000_i1026" type="#_x0000_t75" style="width:394.75pt;height:48.4pt" equationxml="&lt;">
            <v:imagedata r:id="rId7" o:title="" chromakey="white"/>
          </v:shape>
        </w:pic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（一）每千克果粒数≤180个/千克或230个/千克＜每千克果粒数≤280个/千克的可替代交割，升贴水以交易所公告为准。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红枣包装及标志应符合《红枣国标》的规定。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包装要求：外包装使用彩色覆膜纸箱，纸箱应具有较强的抗压强度，防雨防潮，满足运输及存储要求。内包装使用塑料衬膜（袋）。每箱净含量10kg±0.15kg。</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标志要求：外包装上应标明品名、品种、产地、净含量（kg）、生产日期，印刷符合《包装储运图示标志》（GB/T 191-2008）规定的防雨、防压等相关储运图示，标志字迹应清晰无误。</w:t>
      </w:r>
    </w:p>
    <w:p w:rsidR="00C82A51" w:rsidRDefault="00C82A51" w:rsidP="00C82A51">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第二十节 尿素</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交割单位：20吨（净重）。</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尿素交割适用国家标准及本细则规定。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C82A51" w:rsidRDefault="00C82A51" w:rsidP="00C82A51">
      <w:pPr>
        <w:ind w:firstLineChars="200" w:firstLine="560"/>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w:t>
      </w:r>
      <w:r>
        <w:rPr>
          <w:rFonts w:ascii="宋体" w:hAnsi="宋体" w:cs="宋体" w:hint="eastAsia"/>
          <w:kern w:val="0"/>
          <w:sz w:val="28"/>
          <w:szCs w:val="28"/>
        </w:rPr>
        <w:lastRenderedPageBreak/>
        <w:t>40.0kg、50.0kg。同一批次尿素的生产厂家和包装规格须保持一致。</w:t>
      </w:r>
    </w:p>
    <w:p w:rsidR="00C82A51" w:rsidRDefault="00C82A51" w:rsidP="00C82A51">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第二十一节 纯碱</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第七十二条 </w:t>
      </w:r>
      <w:r>
        <w:rPr>
          <w:rFonts w:ascii="宋体" w:hAnsi="宋体" w:cs="宋体" w:hint="eastAsia"/>
          <w:kern w:val="0"/>
          <w:sz w:val="28"/>
          <w:szCs w:val="28"/>
        </w:rPr>
        <w:t>交割单位：20吨。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第七十三条</w:t>
      </w:r>
      <w:r>
        <w:rPr>
          <w:rFonts w:ascii="宋体" w:hAnsi="宋体" w:cs="宋体" w:hint="eastAsia"/>
          <w:kern w:val="0"/>
          <w:sz w:val="28"/>
          <w:szCs w:val="28"/>
        </w:rPr>
        <w:t xml:space="preserve"> 纯碱交割适用国家标准及本细则规定。 </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第七十四条 </w:t>
      </w:r>
      <w:r>
        <w:rPr>
          <w:rFonts w:ascii="宋体" w:hAnsi="宋体" w:cs="宋体" w:hint="eastAsia"/>
          <w:kern w:val="0"/>
          <w:sz w:val="28"/>
          <w:szCs w:val="28"/>
        </w:rPr>
        <w:t>纯碱交割品的包装应符合《纯碱国标》规定。纯碱单包净重为1吨以及交易所公告的其他规格。</w:t>
      </w:r>
    </w:p>
    <w:p w:rsidR="00C82A51" w:rsidRDefault="00C82A51" w:rsidP="00C82A51">
      <w:pPr>
        <w:widowControl/>
        <w:spacing w:line="360" w:lineRule="auto"/>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第二十二节 短纤</w:t>
      </w:r>
    </w:p>
    <w:p w:rsidR="00C82A51" w:rsidRDefault="00C82A51" w:rsidP="00C82A51">
      <w:pPr>
        <w:widowControl/>
        <w:spacing w:line="360" w:lineRule="auto"/>
        <w:ind w:firstLine="560"/>
        <w:jc w:val="left"/>
        <w:outlineLvl w:val="3"/>
        <w:rPr>
          <w:rFonts w:ascii="宋体" w:hAnsi="宋体" w:cs="宋体"/>
          <w:kern w:val="0"/>
          <w:sz w:val="28"/>
          <w:szCs w:val="28"/>
        </w:rPr>
      </w:pPr>
      <w:r>
        <w:rPr>
          <w:rFonts w:ascii="黑体" w:eastAsia="黑体" w:hAnsi="黑体" w:cs="宋体" w:hint="eastAsia"/>
          <w:kern w:val="0"/>
          <w:sz w:val="28"/>
          <w:szCs w:val="28"/>
        </w:rPr>
        <w:t xml:space="preserve">第七十五条 </w:t>
      </w:r>
      <w:r>
        <w:rPr>
          <w:rFonts w:ascii="宋体" w:hAnsi="宋体" w:cs="宋体" w:hint="eastAsia"/>
          <w:kern w:val="0"/>
          <w:sz w:val="28"/>
          <w:szCs w:val="28"/>
        </w:rPr>
        <w:t>交割单位：5吨。</w:t>
      </w:r>
    </w:p>
    <w:p w:rsidR="00C82A51" w:rsidRDefault="00C82A51" w:rsidP="00C82A51">
      <w:pPr>
        <w:widowControl/>
        <w:spacing w:line="360" w:lineRule="auto"/>
        <w:ind w:firstLine="560"/>
        <w:jc w:val="left"/>
        <w:outlineLvl w:val="3"/>
        <w:rPr>
          <w:rFonts w:ascii="仿宋" w:eastAsia="仿宋" w:hAnsi="仿宋" w:cs="仿宋"/>
          <w:color w:val="000000"/>
          <w:kern w:val="0"/>
          <w:sz w:val="28"/>
          <w:szCs w:val="28"/>
        </w:rPr>
      </w:pPr>
      <w:r>
        <w:rPr>
          <w:rFonts w:ascii="黑体" w:eastAsia="黑体" w:hAnsi="黑体" w:cs="宋体" w:hint="eastAsia"/>
          <w:kern w:val="0"/>
          <w:sz w:val="28"/>
          <w:szCs w:val="28"/>
        </w:rPr>
        <w:t xml:space="preserve">第七十六条 </w:t>
      </w:r>
      <w:r>
        <w:rPr>
          <w:rFonts w:ascii="宋体" w:hAnsi="宋体" w:cs="宋体" w:hint="eastAsia"/>
          <w:kern w:val="0"/>
          <w:sz w:val="28"/>
          <w:szCs w:val="28"/>
        </w:rPr>
        <w:t>短纤交割适用国家标准及本细则规定。</w:t>
      </w:r>
    </w:p>
    <w:p w:rsidR="00C82A51" w:rsidRDefault="00C82A51" w:rsidP="00C82A51">
      <w:pPr>
        <w:widowControl/>
        <w:spacing w:line="360" w:lineRule="auto"/>
        <w:ind w:firstLine="560"/>
        <w:jc w:val="left"/>
        <w:outlineLvl w:val="3"/>
        <w:rPr>
          <w:rFonts w:ascii="宋体" w:hAnsi="宋体" w:cs="宋体"/>
          <w:kern w:val="0"/>
          <w:sz w:val="28"/>
          <w:szCs w:val="28"/>
        </w:rPr>
      </w:pPr>
      <w:r>
        <w:rPr>
          <w:rFonts w:ascii="宋体" w:hAnsi="宋体" w:cs="宋体" w:hint="eastAsia"/>
          <w:kern w:val="0"/>
          <w:sz w:val="28"/>
          <w:szCs w:val="28"/>
        </w:rPr>
        <w:t>基准交割品：符合《中华人民共和国国家标准 涤纶短纤维》（GB/T 14464-2017）棉型优等品质量指标的原生纺纱用 1.56dtex×38mm、圆形截面半消光本色涤纶短纤，且0.10%≤含油率≤0.20%，0.30%≤回潮率≤0.60%。</w:t>
      </w:r>
    </w:p>
    <w:p w:rsidR="00C82A51" w:rsidRDefault="00C82A51" w:rsidP="00C82A51">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基准交割品必须是经交易所认定的短纤生产厂家生产的商品。具体生产厂家由交易所公告。</w:t>
      </w:r>
    </w:p>
    <w:p w:rsidR="00C82A51" w:rsidRDefault="00C82A51" w:rsidP="00C82A51">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交易所有权调整交割品生产厂家。</w:t>
      </w:r>
    </w:p>
    <w:p w:rsidR="00C82A51" w:rsidRDefault="00C82A51" w:rsidP="00C82A51">
      <w:pPr>
        <w:widowControl/>
        <w:spacing w:line="360" w:lineRule="auto"/>
        <w:ind w:firstLine="640"/>
        <w:jc w:val="left"/>
        <w:outlineLvl w:val="3"/>
        <w:rPr>
          <w:rFonts w:ascii="宋体" w:hAnsi="宋体" w:cs="宋体"/>
          <w:kern w:val="0"/>
          <w:sz w:val="28"/>
          <w:szCs w:val="28"/>
        </w:rPr>
      </w:pPr>
      <w:r>
        <w:rPr>
          <w:rFonts w:ascii="黑体" w:eastAsia="黑体" w:hAnsi="黑体" w:cs="宋体" w:hint="eastAsia"/>
          <w:kern w:val="0"/>
          <w:sz w:val="28"/>
          <w:szCs w:val="28"/>
        </w:rPr>
        <w:t xml:space="preserve">第七十七条 </w:t>
      </w:r>
      <w:r>
        <w:rPr>
          <w:rFonts w:ascii="宋体" w:hAnsi="宋体" w:cs="宋体" w:hint="eastAsia"/>
          <w:kern w:val="0"/>
          <w:sz w:val="28"/>
          <w:szCs w:val="28"/>
        </w:rPr>
        <w:t>短纤期货交割品包装及标志应符合《中华人民共和国国家标准 涤纶短纤维》（GB/T 14464-2017）相关要求，外包装采</w:t>
      </w:r>
      <w:r>
        <w:rPr>
          <w:rFonts w:ascii="宋体" w:hAnsi="宋体" w:cs="宋体" w:hint="eastAsia"/>
          <w:kern w:val="0"/>
          <w:sz w:val="28"/>
          <w:szCs w:val="28"/>
        </w:rPr>
        <w:lastRenderedPageBreak/>
        <w:t>用覆膜的聚丙烯编织布，并用包装带紧固。短纤每袋包装上要标明产品名称、规格、等级、批号、净质量、生产日期、商标、产品标准编号、生产企业名称、地址以及产品防护、搬运的警示标志，包装规格采用净质量350kg/包、380kg/包及交易所公告的其他包装规格。</w:t>
      </w:r>
    </w:p>
    <w:p w:rsidR="00C82A51" w:rsidRDefault="00C82A51" w:rsidP="00C82A51">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第二十三节 花生</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第七十八条 </w:t>
      </w:r>
      <w:r>
        <w:rPr>
          <w:rFonts w:ascii="宋体" w:hAnsi="宋体" w:cs="宋体" w:hint="eastAsia"/>
          <w:kern w:val="0"/>
          <w:sz w:val="28"/>
          <w:szCs w:val="28"/>
        </w:rPr>
        <w:t>交割单位：5吨。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第七十九条 </w:t>
      </w:r>
      <w:r>
        <w:rPr>
          <w:rFonts w:ascii="宋体" w:hAnsi="宋体" w:cs="宋体" w:hint="eastAsia"/>
          <w:kern w:val="0"/>
          <w:sz w:val="28"/>
          <w:szCs w:val="28"/>
        </w:rPr>
        <w:t xml:space="preserve">花生交割适用国家标准、国家相关规定及本细则规定。 </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基准交割品：45.0%≤含油率（以湿基计，下同）＜46.0%，酸价（以脂肪计，下同）≤1.5mgKOH/g，杂质≤1.0%，水分≤9.0%，霉变粒≤1.0%，7mm上层筛（长圆孔筛板）筛上比例≥60.0%，5.5mm下层筛（长圆孔筛板）筛下比例≤20.0%，色泽气味正常的花生仁。</w:t>
      </w:r>
    </w:p>
    <w:p w:rsidR="00C82A51" w:rsidRDefault="00C82A51" w:rsidP="00C82A51">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花生术语和定义、卫生要求及检验方法等按照《中华人民共和国国家标准花生》（GB/T 1532-2008）、《中华人民共和国农业行业标准油用花生》（NY/T 1068-2006）、《中华人民共和国国家标准长圆孔、长方孔和圆孔筛板》（GB/T 12620-2008）及相关规范性引用文件执行。</w:t>
      </w:r>
    </w:p>
    <w:p w:rsidR="00C82A51" w:rsidRDefault="00C82A51" w:rsidP="00C82A51">
      <w:pPr>
        <w:spacing w:line="360" w:lineRule="auto"/>
        <w:ind w:firstLineChars="200" w:firstLine="560"/>
        <w:rPr>
          <w:rFonts w:ascii="宋体" w:hAnsi="宋体" w:cs="宋体"/>
          <w:kern w:val="0"/>
          <w:sz w:val="28"/>
          <w:szCs w:val="28"/>
        </w:rPr>
      </w:pPr>
      <w:r>
        <w:rPr>
          <w:rFonts w:ascii="宋体" w:hAnsi="宋体" w:cs="宋体" w:hint="eastAsia"/>
          <w:sz w:val="28"/>
          <w:szCs w:val="28"/>
        </w:rPr>
        <w:t>替代品及升</w:t>
      </w:r>
      <w:r>
        <w:rPr>
          <w:rFonts w:ascii="宋体" w:hAnsi="宋体" w:cs="宋体" w:hint="eastAsia"/>
          <w:kern w:val="0"/>
          <w:sz w:val="28"/>
          <w:szCs w:val="28"/>
        </w:rPr>
        <w:t>贴水：</w:t>
      </w:r>
    </w:p>
    <w:p w:rsidR="00C82A51" w:rsidRDefault="00C82A51" w:rsidP="00C82A51">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43.0%≤含油率＜44.0%的，贴水200元/吨；44.0%≤含油率＜45.0%的，贴水100元/吨；46.0%≤含油率＜47.0%的，升水100元/吨；含油率≥47.0%的，升水200元/吨。</w:t>
      </w:r>
    </w:p>
    <w:p w:rsidR="00C82A51" w:rsidRDefault="00C82A51" w:rsidP="00C82A51">
      <w:pPr>
        <w:pStyle w:val="a6"/>
        <w:spacing w:line="240" w:lineRule="auto"/>
        <w:ind w:firstLineChars="200" w:firstLine="560"/>
        <w:jc w:val="both"/>
        <w:rPr>
          <w:rFonts w:ascii="宋体" w:eastAsia="宋体" w:hAnsi="宋体" w:cs="宋体"/>
          <w:color w:val="auto"/>
          <w:sz w:val="28"/>
          <w:szCs w:val="28"/>
          <w:lang w:bidi="ar-SA"/>
        </w:rPr>
      </w:pPr>
      <w:r>
        <w:rPr>
          <w:rFonts w:ascii="宋体" w:eastAsia="宋体" w:hAnsi="宋体" w:cs="宋体" w:hint="eastAsia"/>
          <w:color w:val="auto"/>
          <w:sz w:val="28"/>
          <w:szCs w:val="28"/>
          <w:lang w:bidi="ar-SA"/>
        </w:rPr>
        <w:lastRenderedPageBreak/>
        <w:t>1.5mgKOH/g＜酸价≤2.0mgKOH/g，贴水200元/吨；2.0mgKOH/g＜酸价≤2.5mgKOH/g，贴水500元/吨。</w:t>
      </w:r>
    </w:p>
    <w:p w:rsidR="00C82A51" w:rsidRDefault="00C82A51" w:rsidP="00C82A51">
      <w:pPr>
        <w:pStyle w:val="a6"/>
        <w:spacing w:line="240" w:lineRule="auto"/>
        <w:ind w:firstLineChars="200" w:firstLine="560"/>
        <w:jc w:val="both"/>
        <w:rPr>
          <w:rFonts w:ascii="宋体" w:eastAsia="宋体" w:hAnsi="宋体" w:cs="宋体"/>
          <w:color w:val="auto"/>
          <w:sz w:val="28"/>
          <w:szCs w:val="28"/>
          <w:lang w:bidi="ar-SA"/>
        </w:rPr>
      </w:pPr>
      <w:r>
        <w:rPr>
          <w:rFonts w:ascii="宋体" w:eastAsia="宋体" w:hAnsi="宋体" w:cs="宋体" w:hint="eastAsia"/>
          <w:color w:val="auto"/>
          <w:sz w:val="28"/>
          <w:szCs w:val="28"/>
          <w:lang w:bidi="ar-SA"/>
        </w:rPr>
        <w:t>1.0%＜霉变粒≤1.5%，扣量0.5%；1.5%＜霉变粒≤2.0%，扣量1.5%。</w:t>
      </w:r>
    </w:p>
    <w:p w:rsidR="00C82A51" w:rsidRDefault="00C82A51" w:rsidP="00C82A51">
      <w:pPr>
        <w:widowControl/>
        <w:spacing w:line="360" w:lineRule="auto"/>
        <w:ind w:firstLine="640"/>
        <w:jc w:val="left"/>
        <w:outlineLvl w:val="3"/>
        <w:rPr>
          <w:rFonts w:ascii="宋体" w:hAnsi="宋体" w:cs="宋体"/>
          <w:kern w:val="0"/>
          <w:sz w:val="28"/>
          <w:szCs w:val="28"/>
        </w:rPr>
      </w:pPr>
      <w:r>
        <w:rPr>
          <w:rFonts w:ascii="黑体" w:eastAsia="黑体" w:hAnsi="黑体" w:cs="宋体" w:hint="eastAsia"/>
          <w:kern w:val="0"/>
          <w:sz w:val="28"/>
          <w:szCs w:val="28"/>
        </w:rPr>
        <w:t>第八十条</w:t>
      </w:r>
      <w:bookmarkStart w:id="0" w:name="_Hlk51189962"/>
      <w:r>
        <w:rPr>
          <w:rFonts w:ascii="黑体" w:eastAsia="黑体" w:hAnsi="黑体" w:cs="宋体" w:hint="eastAsia"/>
          <w:kern w:val="0"/>
          <w:sz w:val="28"/>
          <w:szCs w:val="28"/>
        </w:rPr>
        <w:t xml:space="preserve"> </w:t>
      </w:r>
      <w:r>
        <w:rPr>
          <w:rFonts w:ascii="宋体" w:hAnsi="宋体" w:cs="宋体" w:hint="eastAsia"/>
          <w:sz w:val="28"/>
          <w:szCs w:val="28"/>
        </w:rPr>
        <w:t>花生包装采用塑料编织袋。编织袋应当坚固、清洁、干燥，使用缝包机封口，不得产生撒漏或对花生造成污染。</w:t>
      </w:r>
      <w:bookmarkStart w:id="1" w:name="_Hlk51190003"/>
      <w:bookmarkEnd w:id="0"/>
      <w:r>
        <w:rPr>
          <w:rFonts w:ascii="宋体" w:hAnsi="宋体" w:cs="宋体" w:hint="eastAsia"/>
          <w:sz w:val="28"/>
          <w:szCs w:val="28"/>
        </w:rPr>
        <w:t>单包装载花生重量50kg±2kg，且单个包装物重量不得超过125g。</w:t>
      </w:r>
      <w:bookmarkEnd w:id="1"/>
      <w:r>
        <w:rPr>
          <w:rFonts w:ascii="宋体" w:hAnsi="宋体" w:cs="宋体" w:hint="eastAsia"/>
          <w:sz w:val="28"/>
          <w:szCs w:val="28"/>
        </w:rPr>
        <w:t>同一客户同一批次交割的花生包装要求规格统一。</w:t>
      </w:r>
    </w:p>
    <w:p w:rsidR="00C82A51" w:rsidRDefault="00C82A51" w:rsidP="00C82A51">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交割基准价与升贴水</w:t>
      </w:r>
    </w:p>
    <w:p w:rsidR="00C82A51" w:rsidRDefault="00C82A51" w:rsidP="00C82A51">
      <w:pPr>
        <w:pStyle w:val="a5"/>
        <w:widowControl/>
        <w:ind w:firstLine="560"/>
        <w:outlineLvl w:val="3"/>
        <w:rPr>
          <w:rFonts w:ascii="宋体" w:hAnsi="宋体" w:cs="宋体"/>
          <w:sz w:val="28"/>
          <w:szCs w:val="28"/>
        </w:rPr>
      </w:pPr>
      <w:r>
        <w:rPr>
          <w:rFonts w:ascii="宋体" w:eastAsia="黑体" w:hAnsi="宋体" w:cs="宋体" w:hint="eastAsia"/>
          <w:sz w:val="28"/>
          <w:szCs w:val="28"/>
        </w:rPr>
        <w:t>第八十一条</w:t>
      </w:r>
      <w:r>
        <w:rPr>
          <w:rFonts w:ascii="宋体" w:eastAsia="黑体" w:hAnsi="宋体" w:cs="宋体" w:hint="eastAsia"/>
          <w:sz w:val="28"/>
          <w:szCs w:val="28"/>
        </w:rPr>
        <w:t xml:space="preserve"> </w:t>
      </w:r>
      <w:r>
        <w:rPr>
          <w:rFonts w:ascii="宋体" w:hAnsi="宋体" w:cs="宋体" w:hint="eastAsia"/>
          <w:sz w:val="28"/>
          <w:szCs w:val="28"/>
        </w:rPr>
        <w:t>各品种交割基准价如下：</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强麦期货合约的交割基准价为该期货合约的基准交割品在基准交割计价点所在地交割服务机构交货的含税价格。</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棉花、白糖各期货合约的交割基准价为该期货合约的基准交割品在基准仓库交货的含税价格。</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PTA、甲醇期货合约的交割基准价为该期货合约的基准交割品在基准仓库出库时的汽车板交货的含税价格。</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菜油期货合约的交割基准价为该期货合约的基准交割品在基准仓库出库时的车船（汽车、火车、轮船）板交货的含税价格。</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早籼稻、晚籼稻、粳稻期货合约的交割基准价为该期货合约的基准交割品在基准仓库的散粮交货（不含包装物）含税价格。</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玻璃期货合约的交割基准价为该期货合约的基准交割品在基准交割地裸包出库时的汽车板交货的含税价格。</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动力煤期货合约的交割基准价为该期货合约的基准交割品在基准交割地车（船）板交货的含税价格。</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棉纱、尿素、纯碱、短纤期货合约的交割基准价为该期货合约的基准交割品在基准交割地出库时汽车板交货的含税价格（含包装）。</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sz w:val="28"/>
          <w:szCs w:val="28"/>
        </w:rPr>
        <w:t>花生期货合约的交割基准价为该期货合约的基准交割品在基准交割地汽车板交货的含税价格（含包装）。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仓</w:t>
      </w:r>
      <w:r>
        <w:rPr>
          <w:rFonts w:ascii="宋体" w:hAnsi="宋体" w:cs="宋体" w:hint="eastAsia"/>
          <w:kern w:val="0"/>
          <w:sz w:val="28"/>
          <w:szCs w:val="28"/>
        </w:rPr>
        <w:t>库、厂库、指定交割计价点及升贴水由交易所确定并公告。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通用标准仓单的重量溢短的计价标准由交易所每年公告一次。</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52"/>
          <w:sz w:val="28"/>
          <w:szCs w:val="28"/>
        </w:rPr>
        <w:lastRenderedPageBreak/>
        <w:t>适用</w:t>
      </w:r>
      <w:r>
        <w:rPr>
          <w:rFonts w:ascii="宋体" w:hAnsi="宋体" w:cs="宋体" w:hint="eastAsia"/>
          <w:bCs/>
          <w:kern w:val="52"/>
          <w:sz w:val="28"/>
          <w:szCs w:val="28"/>
        </w:rPr>
        <w:t>通用标准仓单</w:t>
      </w:r>
      <w:r>
        <w:rPr>
          <w:rFonts w:ascii="宋体" w:hAnsi="宋体" w:cs="宋体" w:hint="eastAsia"/>
          <w:kern w:val="52"/>
          <w:sz w:val="28"/>
          <w:szCs w:val="28"/>
        </w:rPr>
        <w:t>品种</w:t>
      </w:r>
      <w:r>
        <w:rPr>
          <w:rFonts w:ascii="宋体" w:hAnsi="宋体" w:cs="宋体" w:hint="eastAsia"/>
          <w:bCs/>
          <w:kern w:val="52"/>
          <w:sz w:val="28"/>
          <w:szCs w:val="28"/>
        </w:rPr>
        <w:t>的替代品升贴水</w:t>
      </w:r>
      <w:r>
        <w:rPr>
          <w:rFonts w:ascii="宋体" w:hAnsi="宋体" w:cs="宋体" w:hint="eastAsia"/>
          <w:kern w:val="52"/>
          <w:sz w:val="28"/>
          <w:szCs w:val="28"/>
        </w:rPr>
        <w:t>（花生除外）</w:t>
      </w:r>
      <w:r>
        <w:rPr>
          <w:rFonts w:ascii="宋体" w:hAnsi="宋体" w:cs="宋体" w:hint="eastAsia"/>
          <w:bCs/>
          <w:kern w:val="52"/>
          <w:sz w:val="28"/>
          <w:szCs w:val="28"/>
        </w:rPr>
        <w:t>、仓库或厂库</w:t>
      </w:r>
      <w:r>
        <w:rPr>
          <w:rFonts w:ascii="宋体" w:hAnsi="宋体" w:cs="宋体" w:hint="eastAsia"/>
          <w:kern w:val="52"/>
          <w:sz w:val="28"/>
          <w:szCs w:val="28"/>
        </w:rPr>
        <w:t>升贴水和重量溢短价款在仓单注册、注销时划转，</w:t>
      </w:r>
      <w:r>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Pr>
          <w:rFonts w:ascii="宋体" w:hAnsi="宋体" w:cs="宋体" w:hint="eastAsia"/>
          <w:kern w:val="52"/>
          <w:sz w:val="28"/>
          <w:szCs w:val="28"/>
        </w:rPr>
        <w:t>应予</w:t>
      </w:r>
      <w:r>
        <w:rPr>
          <w:rFonts w:ascii="宋体" w:hAnsi="宋体" w:cs="宋体" w:hint="eastAsia"/>
          <w:bCs/>
          <w:kern w:val="52"/>
          <w:sz w:val="28"/>
          <w:szCs w:val="28"/>
        </w:rPr>
        <w:t>退还。</w:t>
      </w:r>
    </w:p>
    <w:p w:rsidR="00C82A51" w:rsidRDefault="00C82A51" w:rsidP="00C82A51">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交割流程</w:t>
      </w:r>
    </w:p>
    <w:p w:rsidR="00C82A51" w:rsidRDefault="00C82A51" w:rsidP="00C82A51">
      <w:pPr>
        <w:ind w:firstLineChars="200" w:firstLine="560"/>
        <w:rPr>
          <w:rFonts w:ascii="宋体" w:hAnsi="宋体" w:cs="宋体"/>
          <w:kern w:val="0"/>
          <w:sz w:val="28"/>
          <w:szCs w:val="28"/>
        </w:rPr>
      </w:pPr>
      <w:r>
        <w:rPr>
          <w:rFonts w:ascii="宋体" w:eastAsia="黑体" w:hAnsi="宋体" w:cs="宋体" w:hint="eastAsia"/>
          <w:kern w:val="0"/>
          <w:sz w:val="28"/>
          <w:szCs w:val="28"/>
        </w:rPr>
        <w:t>第八十四条</w:t>
      </w:r>
      <w:r>
        <w:rPr>
          <w:rFonts w:ascii="宋体" w:hAnsi="宋体" w:cs="宋体" w:hint="eastAsia"/>
          <w:kern w:val="0"/>
          <w:sz w:val="28"/>
          <w:szCs w:val="28"/>
        </w:rPr>
        <w:t xml:space="preserve"> 期货实物交割在交割月的连续三个交易日完成，分别称为第一交割日、第二交割日、第三交割日，可以适用的流程包括滚动交割和集中交割。</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集中交割是指在合约最后交易日闭市后，交易所组织所有未平仓合约持有者进行的交割。</w:t>
      </w:r>
    </w:p>
    <w:p w:rsidR="00C82A51" w:rsidRDefault="00C82A51" w:rsidP="00C82A51">
      <w:pPr>
        <w:ind w:firstLineChars="200" w:firstLine="560"/>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滚动交割流程如下：</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（一）第一交割日（配对日）</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1.自进入交割月第一个交易日起至最后交易日的前一交易日，持有交割月合约且持有标准仓单或车（船）板交割货物或厂库非标准仓单棉纱</w:t>
      </w:r>
      <w:r>
        <w:rPr>
          <w:rStyle w:val="a7"/>
          <w:rFonts w:ascii="宋体" w:hAnsi="宋体" w:cs="宋体" w:hint="eastAsia"/>
          <w:kern w:val="0"/>
          <w:sz w:val="28"/>
          <w:szCs w:val="28"/>
        </w:rPr>
        <w:footnoteReference w:customMarkFollows="1" w:id="2"/>
        <w:t>1</w:t>
      </w:r>
      <w:r>
        <w:rPr>
          <w:rFonts w:ascii="宋体" w:hAnsi="宋体" w:cs="宋体" w:hint="eastAsia"/>
          <w:kern w:val="0"/>
          <w:sz w:val="28"/>
          <w:szCs w:val="28"/>
        </w:rPr>
        <w:t>的卖方会员可在每个交易日下午2时30分之前，通过会员服务系统按照下列情形提出交割申请。</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（1）卖方提出标准仓单交割申请时，应同时提交相应的标准仓</w:t>
      </w:r>
      <w:r>
        <w:rPr>
          <w:rFonts w:ascii="宋体" w:hAnsi="宋体" w:cs="宋体" w:hint="eastAsia"/>
          <w:kern w:val="0"/>
          <w:sz w:val="28"/>
          <w:szCs w:val="28"/>
        </w:rPr>
        <w:lastRenderedPageBreak/>
        <w:t>单信息；</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2）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强麦车（船）板信息参照《强麦入库确认书》。花生车（船）板信息包括：含油率、酸价、霉变粒、车（船）板交割服务机构、货物数量等。</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3）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苹果、红枣、花生品种除外。</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lastRenderedPageBreak/>
        <w:t>3.当日闭市后，交易所按以下原则进行配对：</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对于得到买方会员响应的交割申请，交易所依据买卖双方相对应的持仓量、买卖双方确认申请量和卖方持有标准仓单量，取最小数进行配对。</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对于苹果、红枣、花生品种未得到买方会员响应的交割申请，交易所通过计算机系统，先按照“建仓时间最早的法人持仓优先”原则，确定参与配对的买方持仓后予以配对（配对日）。苹果、花生由计算机系统按先车（船）板后仓单的原则予以配对（配对日）。</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 xml:space="preserve">（二）第二交割日 </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买卖双方通过交易所会员服务系统收取《交割通知单》。</w:t>
      </w:r>
    </w:p>
    <w:p w:rsidR="00C82A51" w:rsidRDefault="00C82A51" w:rsidP="00C82A51">
      <w:pPr>
        <w:ind w:leftChars="304" w:left="638"/>
        <w:rPr>
          <w:rFonts w:ascii="宋体" w:hAnsi="宋体" w:cs="宋体"/>
          <w:kern w:val="0"/>
          <w:sz w:val="28"/>
          <w:szCs w:val="28"/>
        </w:rPr>
      </w:pPr>
      <w:r>
        <w:rPr>
          <w:rFonts w:ascii="宋体" w:hAnsi="宋体" w:cs="宋体" w:hint="eastAsia"/>
          <w:kern w:val="0"/>
          <w:sz w:val="28"/>
          <w:szCs w:val="28"/>
        </w:rPr>
        <w:t xml:space="preserve">（三）第三交割日 </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交易所对买卖双方进行交割结算。具体流程见本章关于交割结算流程的有关规定。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最后交易日闭市前，卖方将拟进行集中交割的仓单数量提交至交易所，交易所按照卖方提交的拟集中交割的仓单数量释放卖方保证金。卖方未在规定时间内提交仓单数量的，不释放卖方保证金。</w:t>
      </w:r>
    </w:p>
    <w:p w:rsidR="00C82A51" w:rsidRDefault="00C82A51" w:rsidP="00C82A51">
      <w:pPr>
        <w:ind w:firstLineChars="200" w:firstLine="560"/>
        <w:jc w:val="left"/>
        <w:rPr>
          <w:rFonts w:ascii="宋体" w:hAnsi="宋体" w:cs="宋体"/>
          <w:kern w:val="0"/>
          <w:sz w:val="28"/>
          <w:szCs w:val="28"/>
        </w:rPr>
      </w:pPr>
      <w:r>
        <w:rPr>
          <w:rFonts w:ascii="宋体" w:eastAsia="黑体" w:hAnsi="宋体" w:cs="宋体" w:hint="eastAsia"/>
          <w:kern w:val="0"/>
          <w:sz w:val="28"/>
          <w:szCs w:val="28"/>
        </w:rPr>
        <w:t>第八十七条</w:t>
      </w:r>
      <w:r>
        <w:rPr>
          <w:rFonts w:ascii="宋体" w:eastAsia="黑体" w:hAnsi="宋体" w:cs="宋体" w:hint="eastAsia"/>
          <w:kern w:val="0"/>
          <w:sz w:val="28"/>
          <w:szCs w:val="28"/>
        </w:rPr>
        <w:t xml:space="preserve"> </w:t>
      </w:r>
      <w:r>
        <w:rPr>
          <w:rFonts w:ascii="宋体" w:hAnsi="宋体" w:cs="宋体" w:hint="eastAsia"/>
          <w:kern w:val="0"/>
          <w:sz w:val="28"/>
          <w:szCs w:val="28"/>
        </w:rPr>
        <w:t>集中交割的交割流程如下：</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（一）第一交割日</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lastRenderedPageBreak/>
        <w:t>最后交易日后的第一个交易日，卖方公布交割信息。当日闭市前，普麦及非通用标准仓单或者车（船）板交割的卖方，应当公布用于交割的仓单信息或者车（船）板交割货物信息。强麦卖方应依据《强麦入库确认书》信息公布车（船）板交割信息。未主动公布的，交易所于当日闭市时公布卖方相应品种所有可流通标准仓单信息供买方挑选。强麦之外的其他品种，卖方未公布车（船）板交割货物信息的，交易所按标准仓单交割对待。强麦卖方未公布车（船）板交割货物信息的，按交割违约处理。</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（二）第二交割日（配对日）</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1.买方挑选卖方公布的交割信息。当日闭市前，普麦及非通用标准仓单或车（船）板品种交割的买方，根据卖方公布的仓单信息或者车（船）板交割的货物信息，自主选择并确认。买方挑选卖方标准仓单及车（船）板交割的总数量不超过卖方该合约的持仓量。卖方公布的、但未被买方选中的车（船）板交割，仍按照车（船）板交割方式进行配对。</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2.当日结算时，普麦、花生及非通用标准仓单或者车（船）板交割的，交易所按照买卖双方确认结果进行配对；其他仍未配对的未平仓持仓，由计算机按先车（船）板后仓单，再按数量取整、最少配对数原则予以配对。</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通用标准仓单（普麦、花生除外）交割的买卖双方，由计算机系统按数量取整、最少配对数原则予以配对。</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3.PTA期货合约在集中交割配对时，参与交割的PTA保税标准仓</w:t>
      </w:r>
      <w:r>
        <w:rPr>
          <w:rFonts w:ascii="宋体" w:hAnsi="宋体" w:cs="宋体" w:hint="eastAsia"/>
          <w:kern w:val="0"/>
          <w:sz w:val="28"/>
          <w:szCs w:val="28"/>
        </w:rPr>
        <w:lastRenderedPageBreak/>
        <w:t>单优先分配给境外买方（不包括合格境外机构投资者和人民币合格境外机构投资者，下同）。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系统按数量取整、最少配对数原则予以配对。</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4.厂库非标准仓单棉纱不得用于集中交割。</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5.当日结算后，买卖双方通过交易所会员服务系统收取《交割通知单》。</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（三）第三交割日</w:t>
      </w:r>
    </w:p>
    <w:p w:rsidR="00C82A51" w:rsidRDefault="00C82A51" w:rsidP="00C82A51">
      <w:pPr>
        <w:ind w:firstLineChars="200" w:firstLine="560"/>
        <w:jc w:val="left"/>
        <w:rPr>
          <w:rFonts w:ascii="宋体" w:hAnsi="宋体" w:cs="宋体"/>
          <w:kern w:val="0"/>
          <w:sz w:val="28"/>
          <w:szCs w:val="28"/>
        </w:rPr>
      </w:pPr>
      <w:r>
        <w:rPr>
          <w:rFonts w:ascii="宋体" w:hAnsi="宋体" w:cs="宋体" w:hint="eastAsia"/>
          <w:kern w:val="0"/>
          <w:sz w:val="28"/>
          <w:szCs w:val="28"/>
        </w:rPr>
        <w:t>交易所对买卖双方进行交割结算。具体流程见本章关于交割结算流程的有关规定。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第八十八条</w:t>
      </w:r>
      <w:r>
        <w:rPr>
          <w:rFonts w:ascii="宋体" w:eastAsia="黑体" w:hAnsi="宋体" w:cs="宋体" w:hint="eastAsia"/>
          <w:kern w:val="0"/>
          <w:sz w:val="28"/>
          <w:szCs w:val="28"/>
        </w:rPr>
        <w:t xml:space="preserve"> </w:t>
      </w:r>
      <w:r>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p>
    <w:p w:rsidR="00C82A51" w:rsidRDefault="00C82A51" w:rsidP="00C82A51">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第八十九条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交割关系一经确定，买卖双方不得擅自调整或者变更。</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第九十条</w:t>
      </w:r>
      <w:r>
        <w:rPr>
          <w:rFonts w:ascii="宋体" w:eastAsia="黑体" w:hAnsi="宋体" w:cs="宋体" w:hint="eastAsia"/>
          <w:kern w:val="0"/>
          <w:sz w:val="28"/>
          <w:szCs w:val="28"/>
        </w:rPr>
        <w:t xml:space="preserve"> </w:t>
      </w:r>
      <w:r>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C82A51" w:rsidRDefault="00C82A51" w:rsidP="00C82A51">
      <w:pPr>
        <w:ind w:firstLineChars="200" w:firstLine="560"/>
        <w:rPr>
          <w:rFonts w:ascii="宋体" w:hAnsi="宋体" w:cs="宋体"/>
          <w:kern w:val="0"/>
          <w:sz w:val="28"/>
          <w:szCs w:val="28"/>
        </w:rPr>
      </w:pPr>
      <w:r>
        <w:rPr>
          <w:rFonts w:ascii="宋体" w:eastAsia="黑体" w:hAnsi="宋体" w:cs="宋体" w:hint="eastAsia"/>
          <w:kern w:val="0"/>
          <w:sz w:val="28"/>
          <w:szCs w:val="28"/>
        </w:rPr>
        <w:t>第九十一条</w:t>
      </w:r>
      <w:r>
        <w:rPr>
          <w:rFonts w:ascii="宋体" w:eastAsia="黑体" w:hAnsi="宋体" w:cs="宋体" w:hint="eastAsia"/>
          <w:kern w:val="0"/>
          <w:sz w:val="28"/>
          <w:szCs w:val="28"/>
        </w:rPr>
        <w:t xml:space="preserve"> </w:t>
      </w:r>
      <w:r>
        <w:rPr>
          <w:rFonts w:ascii="宋体" w:hAnsi="宋体" w:cs="宋体" w:hint="eastAsia"/>
          <w:kern w:val="0"/>
          <w:sz w:val="28"/>
          <w:szCs w:val="28"/>
        </w:rPr>
        <w:t>交割结算流程规定如下：</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（一）标准仓单交割结算流程</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lastRenderedPageBreak/>
        <w:t>1.第三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2.交易所收取买方会员全额货款后，于第三交割日将全额货款的80%划转给卖方会员，同时将卖方会员的仓单交付买方会员。余款在买方会员确认收到卖方会员转交的增值税专用发票时结清。交割标的为PTA保税标准仓单的，卖方会员应在第三交割日向交易所开具增值税普通发票，第三交割日后7个交易日闭市前未向交易所提交增值税普通发票的，交易所按照本细则规定收取滞纳金或违约金。对发票的传递、余款的结算，会员均应按本细则规定办理。</w:t>
      </w:r>
    </w:p>
    <w:p w:rsidR="00C82A51" w:rsidRDefault="00C82A51" w:rsidP="00C82A51">
      <w:pPr>
        <w:pStyle w:val="a3"/>
        <w:shd w:val="clear" w:color="auto" w:fill="FFFFFF"/>
        <w:spacing w:before="0" w:beforeAutospacing="0" w:after="0" w:afterAutospacing="0"/>
        <w:ind w:firstLineChars="200" w:firstLine="560"/>
        <w:jc w:val="both"/>
        <w:rPr>
          <w:sz w:val="28"/>
          <w:szCs w:val="28"/>
        </w:rPr>
      </w:pPr>
      <w:r>
        <w:rPr>
          <w:rFonts w:hint="eastAsia"/>
          <w:sz w:val="28"/>
          <w:szCs w:val="28"/>
        </w:rPr>
        <w:t>3.境外买方分配到PTA完税标准仓单的，交易所负责组织对该PTA完税标准仓单进行竞卖，竞卖产生的损益和费用由境外买方承担。若竞卖不成功，境外买方支付对应交割货款20%的补偿金给配对卖方。</w:t>
      </w:r>
    </w:p>
    <w:p w:rsidR="00C82A51" w:rsidRDefault="00C82A51" w:rsidP="00C82A51">
      <w:pPr>
        <w:pStyle w:val="a3"/>
        <w:shd w:val="clear" w:color="auto" w:fill="FFFFFF"/>
        <w:spacing w:before="0" w:beforeAutospacing="0" w:after="0" w:afterAutospacing="0"/>
        <w:ind w:firstLineChars="200" w:firstLine="560"/>
        <w:jc w:val="both"/>
        <w:rPr>
          <w:sz w:val="28"/>
          <w:szCs w:val="28"/>
        </w:rPr>
      </w:pPr>
      <w:r>
        <w:rPr>
          <w:rFonts w:hint="eastAsia"/>
          <w:sz w:val="28"/>
          <w:szCs w:val="28"/>
        </w:rPr>
        <w:t>(二)车（船）板交割结算流程</w:t>
      </w:r>
    </w:p>
    <w:p w:rsidR="00C82A51" w:rsidRDefault="00C82A51" w:rsidP="00C82A51">
      <w:pPr>
        <w:pStyle w:val="a3"/>
        <w:shd w:val="clear" w:color="auto" w:fill="FFFFFF"/>
        <w:spacing w:before="0" w:beforeAutospacing="0" w:after="0" w:afterAutospacing="0"/>
        <w:ind w:firstLine="482"/>
        <w:jc w:val="both"/>
        <w:rPr>
          <w:sz w:val="28"/>
          <w:szCs w:val="28"/>
        </w:rPr>
      </w:pPr>
      <w:r>
        <w:rPr>
          <w:rFonts w:hint="eastAsia"/>
          <w:sz w:val="28"/>
          <w:szCs w:val="28"/>
        </w:rPr>
        <w:t>1.第三交割日上午9时之前，买方会员应当将100％货款（不含买方保证金）划入交易所账户。</w:t>
      </w:r>
    </w:p>
    <w:p w:rsidR="00C82A51" w:rsidRDefault="00C82A51" w:rsidP="00C82A51">
      <w:pPr>
        <w:pStyle w:val="a3"/>
        <w:shd w:val="clear" w:color="auto" w:fill="FFFFFF"/>
        <w:spacing w:before="0" w:beforeAutospacing="0" w:after="0" w:afterAutospacing="0"/>
        <w:ind w:firstLine="482"/>
        <w:jc w:val="both"/>
        <w:rPr>
          <w:sz w:val="28"/>
          <w:szCs w:val="28"/>
        </w:rPr>
      </w:pPr>
      <w:r>
        <w:rPr>
          <w:rFonts w:hint="eastAsia"/>
          <w:sz w:val="28"/>
          <w:szCs w:val="28"/>
        </w:rPr>
        <w:t>2.买卖双方自第三交割日后规定时间，对车（船）板交割货物的交收事宜进行协商，办理交收。车（船）板交割具体事宜见本细则“车（船）板交割”一章有关规定。</w:t>
      </w:r>
    </w:p>
    <w:p w:rsidR="00C82A51" w:rsidRDefault="00C82A51" w:rsidP="00C82A51">
      <w:pPr>
        <w:pStyle w:val="a3"/>
        <w:shd w:val="clear" w:color="auto" w:fill="FFFFFF"/>
        <w:spacing w:before="0" w:beforeAutospacing="0" w:after="0" w:afterAutospacing="0"/>
        <w:ind w:firstLine="480"/>
        <w:jc w:val="both"/>
        <w:rPr>
          <w:sz w:val="28"/>
          <w:szCs w:val="28"/>
        </w:rPr>
      </w:pPr>
      <w:r>
        <w:rPr>
          <w:rFonts w:hint="eastAsia"/>
          <w:sz w:val="28"/>
          <w:szCs w:val="28"/>
        </w:rPr>
        <w:lastRenderedPageBreak/>
        <w:t>3.配对后至最后交货日次日，交易所按双方确认情况进行结算。</w:t>
      </w:r>
    </w:p>
    <w:p w:rsidR="00C82A51" w:rsidRDefault="00C82A51" w:rsidP="00C82A51">
      <w:pPr>
        <w:pStyle w:val="a3"/>
        <w:shd w:val="clear" w:color="auto" w:fill="FFFFFF"/>
        <w:spacing w:before="0" w:beforeAutospacing="0" w:after="0" w:afterAutospacing="0"/>
        <w:ind w:firstLine="480"/>
        <w:jc w:val="both"/>
        <w:rPr>
          <w:sz w:val="28"/>
          <w:szCs w:val="28"/>
        </w:rPr>
      </w:pPr>
      <w:r>
        <w:rPr>
          <w:rFonts w:hint="eastAsia"/>
          <w:sz w:val="28"/>
          <w:szCs w:val="28"/>
        </w:rPr>
        <w:t>委托交易所结算的，全部货物交收完毕后，买方或者卖方一次性提交此次交割货物数量、质量、增值税发票流转及应划转货款等信息，对方应在当日内进行确认，若有异议，应在提交信息之日起（含该日）三个交易日内提供有效证明。逾期未提交有效证明的，系统将按照发起方提交的信息自动确认。交易所按双方确认结果进行资金划转、释放买卖双方的剩余资金。增值税发票流转参照本细则“增值税专用（普通）发票的流转”一章有关规定执行。</w:t>
      </w:r>
    </w:p>
    <w:p w:rsidR="00C82A51" w:rsidRDefault="00C82A51" w:rsidP="00C82A51">
      <w:pPr>
        <w:pStyle w:val="a3"/>
        <w:shd w:val="clear" w:color="auto" w:fill="FFFFFF"/>
        <w:spacing w:before="0" w:beforeAutospacing="0" w:after="0" w:afterAutospacing="0"/>
        <w:ind w:firstLine="482"/>
        <w:jc w:val="both"/>
        <w:rPr>
          <w:sz w:val="28"/>
          <w:szCs w:val="28"/>
        </w:rPr>
      </w:pPr>
      <w:r>
        <w:rPr>
          <w:rFonts w:hint="eastAsia"/>
          <w:sz w:val="28"/>
          <w:szCs w:val="28"/>
        </w:rPr>
        <w:t>不委托交易所结算的，交易所退还买卖双方交易保证金和买方货款。买卖双方终止交割。</w:t>
      </w:r>
    </w:p>
    <w:p w:rsidR="00C82A51" w:rsidRDefault="00C82A51" w:rsidP="00C82A51">
      <w:pPr>
        <w:pStyle w:val="a3"/>
        <w:shd w:val="clear" w:color="auto" w:fill="FFFFFF"/>
        <w:spacing w:before="0" w:beforeAutospacing="0" w:after="0" w:afterAutospacing="0"/>
        <w:ind w:firstLineChars="200" w:firstLine="560"/>
        <w:jc w:val="both"/>
        <w:rPr>
          <w:sz w:val="28"/>
          <w:szCs w:val="28"/>
        </w:rPr>
      </w:pPr>
      <w:r>
        <w:rPr>
          <w:rFonts w:hint="eastAsia"/>
          <w:sz w:val="28"/>
          <w:szCs w:val="28"/>
        </w:rPr>
        <w:t>（三）厂库非标准仓单棉纱交割结算流程</w:t>
      </w:r>
    </w:p>
    <w:p w:rsidR="00C82A51" w:rsidRDefault="00C82A51" w:rsidP="00C82A51">
      <w:pPr>
        <w:pStyle w:val="a3"/>
        <w:shd w:val="clear" w:color="auto" w:fill="FFFFFF"/>
        <w:spacing w:before="0" w:beforeAutospacing="0" w:after="0" w:afterAutospacing="0"/>
        <w:ind w:firstLineChars="200" w:firstLine="560"/>
        <w:jc w:val="both"/>
        <w:rPr>
          <w:sz w:val="28"/>
          <w:szCs w:val="28"/>
        </w:rPr>
      </w:pPr>
      <w:r>
        <w:rPr>
          <w:rFonts w:hint="eastAsia"/>
          <w:sz w:val="28"/>
          <w:szCs w:val="28"/>
        </w:rPr>
        <w:t>1.第三交割日上午9时之前，买方会员应当将100%货款（不含买方保证金）划入交易所账户。</w:t>
      </w:r>
    </w:p>
    <w:p w:rsidR="00C82A51" w:rsidRDefault="00C82A51" w:rsidP="00C82A51">
      <w:pPr>
        <w:pStyle w:val="a3"/>
        <w:shd w:val="clear" w:color="auto" w:fill="FFFFFF"/>
        <w:spacing w:before="0" w:beforeAutospacing="0" w:after="0" w:afterAutospacing="0"/>
        <w:ind w:firstLine="482"/>
        <w:rPr>
          <w:sz w:val="28"/>
          <w:szCs w:val="28"/>
        </w:rPr>
      </w:pPr>
      <w:r>
        <w:rPr>
          <w:rFonts w:hint="eastAsia"/>
          <w:sz w:val="28"/>
          <w:szCs w:val="28"/>
        </w:rPr>
        <w:t>2.自第三交割日起（含该日）三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w:t>
      </w:r>
      <w:r>
        <w:rPr>
          <w:rFonts w:hint="eastAsia"/>
          <w:sz w:val="28"/>
          <w:szCs w:val="28"/>
        </w:rPr>
        <w:lastRenderedPageBreak/>
        <w:t>对应部分合约价值（按配对时的交割结算价计算）20%的违约金给守约方，终止交割。</w:t>
      </w:r>
    </w:p>
    <w:p w:rsidR="00C82A51" w:rsidRDefault="00C82A51" w:rsidP="00C82A51">
      <w:pPr>
        <w:pStyle w:val="a3"/>
        <w:shd w:val="clear" w:color="auto" w:fill="FFFFFF"/>
        <w:spacing w:before="0" w:beforeAutospacing="0" w:after="0" w:afterAutospacing="0"/>
        <w:ind w:firstLineChars="200" w:firstLine="560"/>
        <w:rPr>
          <w:sz w:val="28"/>
          <w:szCs w:val="28"/>
        </w:rPr>
      </w:pPr>
      <w:r>
        <w:rPr>
          <w:rFonts w:hint="eastAsia"/>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C82A51" w:rsidRDefault="00C82A51" w:rsidP="00C82A51">
      <w:pPr>
        <w:pStyle w:val="a3"/>
        <w:shd w:val="clear" w:color="auto" w:fill="FFFFFF"/>
        <w:spacing w:before="0" w:beforeAutospacing="0" w:after="0" w:afterAutospacing="0"/>
        <w:ind w:firstLineChars="200" w:firstLine="560"/>
        <w:jc w:val="both"/>
        <w:rPr>
          <w:sz w:val="28"/>
          <w:szCs w:val="28"/>
        </w:rPr>
      </w:pPr>
      <w:r>
        <w:rPr>
          <w:rFonts w:hint="eastAsia"/>
          <w:sz w:val="28"/>
          <w:szCs w:val="28"/>
        </w:rPr>
        <w:t>3.在最后交货日之前交割完毕的，配对后至最后交货日次日，交易所按买卖双方在会员服务系统中的确认情况进行结算。具体流程参照本条车（船）板交割结算流程有关规定执行。</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4.在最后交货日仍没有交割完毕的，参照本细则第一百零六条有关规定执行。</w:t>
      </w:r>
    </w:p>
    <w:p w:rsidR="00C82A51" w:rsidRDefault="00C82A51" w:rsidP="00C82A51">
      <w:pPr>
        <w:ind w:firstLineChars="200" w:firstLine="560"/>
        <w:rPr>
          <w:rFonts w:ascii="宋体" w:hAnsi="宋体" w:cs="宋体"/>
          <w:kern w:val="0"/>
          <w:sz w:val="28"/>
          <w:szCs w:val="28"/>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28"/>
        </w:rPr>
        <w:t>滚动交割的交割结算价为期货合约配对日（含该日）前10个交易日交易结算价的算术平均价。</w:t>
      </w:r>
    </w:p>
    <w:p w:rsidR="00C82A51" w:rsidRDefault="00C82A51" w:rsidP="00C82A51">
      <w:pPr>
        <w:ind w:firstLineChars="200" w:firstLine="560"/>
        <w:rPr>
          <w:rFonts w:ascii="宋体" w:hAnsi="宋体" w:cs="宋体"/>
          <w:kern w:val="0"/>
          <w:sz w:val="28"/>
          <w:szCs w:val="28"/>
        </w:rPr>
      </w:pPr>
      <w:r>
        <w:rPr>
          <w:rFonts w:ascii="宋体" w:hAnsi="宋体" w:cs="宋体" w:hint="eastAsia"/>
          <w:kern w:val="0"/>
          <w:sz w:val="28"/>
          <w:szCs w:val="28"/>
        </w:rPr>
        <w:t>集中交割的交割结算价为期货合约最后交易日（含该日）前10</w:t>
      </w:r>
      <w:r>
        <w:rPr>
          <w:rFonts w:ascii="宋体" w:hAnsi="宋体" w:cs="宋体" w:hint="eastAsia"/>
          <w:kern w:val="0"/>
          <w:sz w:val="28"/>
          <w:szCs w:val="28"/>
        </w:rPr>
        <w:lastRenderedPageBreak/>
        <w:t>个交易日交易结算价的算术平均价。</w:t>
      </w:r>
    </w:p>
    <w:p w:rsidR="00C82A51" w:rsidRDefault="00C82A51" w:rsidP="00C82A51">
      <w:pPr>
        <w:widowControl/>
        <w:spacing w:line="360" w:lineRule="auto"/>
        <w:jc w:val="center"/>
        <w:outlineLvl w:val="3"/>
        <w:rPr>
          <w:rFonts w:ascii="宋体" w:eastAsia="黑体" w:hAnsi="宋体" w:cs="宋体"/>
          <w:kern w:val="0"/>
          <w:sz w:val="32"/>
          <w:szCs w:val="28"/>
        </w:rPr>
      </w:pPr>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车（船）板交割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28"/>
        </w:rPr>
        <w:t>卖方拟开展车（船）板交割时，货物存放机构应具备以下条件：</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（一）交通便利，核定载重30吨货车能够顺畅通行；</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（三）装运能力强，发货速度不低于300吨/天（双方另有约定的除外）；</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（四）具备开展期货交割质量检验的检化验设备，检化验设备符合国标检验规定，且运行良好。</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卖方货物存放机构不具备以上条件的，卖方须承担由此产生的相应责任。</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第九十四条</w:t>
      </w:r>
      <w:r>
        <w:rPr>
          <w:rFonts w:ascii="宋体" w:hAnsi="宋体" w:cs="宋体" w:hint="eastAsia"/>
          <w:kern w:val="0"/>
          <w:sz w:val="28"/>
          <w:szCs w:val="28"/>
        </w:rPr>
        <w:t xml:space="preserve"> 强麦车（船）板交割必须进行交割预报。</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预报数量较大的，交易所可以要求货主提供拥有商品的相关证明。</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《强麦车（船）板接收通知单》自开具之日起生效，有效期为40个日历日。交易所可视情况，调整《强麦车（船）板接收通知单》的有效期。</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《强麦入库确认书》作为卖方参与交割配对的依据。</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货主应当按交易所有关规定向服务机构交纳各项费用。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办理完交割预报的货主发货前，须将运输方式、车（船）号、数量、到货时间等通知服务机构。</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第九十五条 </w:t>
      </w:r>
      <w:r>
        <w:rPr>
          <w:rFonts w:ascii="宋体" w:hAnsi="宋体" w:cs="宋体" w:hint="eastAsia"/>
          <w:kern w:val="0"/>
          <w:sz w:val="28"/>
          <w:szCs w:val="28"/>
        </w:rPr>
        <w:t>花生车（船）板交割应当进行交割预报。</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参与车（船）板交割的卖方客户或者非期货公司会员的交割预报应当委托会员办理。会员填写《花生车（船）板交割预报单》，并通过会员服务系统向交易所指定的车（船）板交割服务机构提出预报。《花生车（船）板交割预报单》信息包括：交割服务机构、货物数量等。</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预报数量较大的，交易所可以要求货主提供拥有货物的相关证明。</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服务机构自交割月前一个月第13个交易日开始接受交割预报，自接到会员《花生车（船）板交割预报单》之日（含该日）起2个工作日内，交割服务机构应当通过会员服务系统回复会员能够接收的货物数量。自接到交割服务机构同意接收的回复之日（含该日）起2个工作日之内，会员应当向交割服务机构缴纳30元/吨的交割预报定金。交割服务机构应当在收到交割预报定金之日（含该日）起的第1个工作日，向卖方会员开具《花生车（船）板接收通知单》，视为交割预报完成。会员应当及时将交割预报结果通知客户。对已存放在车（船）板交割服务机构的货物申请车（船）板交割的，仍应完成交割预报，无须缴纳交割预报定金。参与滚动交割的卖方，须于提出交割申请前在对应的交割服务机构完成交割预报；参与集中交割的卖方，须于最后交易日（含该日）前在对应的交割服务机构完成交割预报。</w:t>
      </w:r>
      <w:r>
        <w:rPr>
          <w:rFonts w:ascii="宋体" w:hAnsi="宋体" w:cs="宋体" w:hint="eastAsia"/>
          <w:kern w:val="0"/>
          <w:sz w:val="28"/>
          <w:szCs w:val="28"/>
        </w:rPr>
        <w:lastRenderedPageBreak/>
        <w:t>单一客户在单个交割服务机构的车（船）板交割数量不得超过该客户在该交割服务机构交割预报的数量。</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交割预报自《花生车（船）板接收通知单》开具之日（含该日）起生效，有效期至最近交割月的第11个交易日。</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委托交易所结算且货物到达接受交割预报的交割服务机构的，自货物全部到达之日起2个工作日内，交割预报定金予以返还；部分到达的，按实际到达量返还；未到达的，不予返还。不委托交易所结算的，自签订《车（船）板交割协议书》之日起2个工作日内，交割预报定金予以返还。</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货主应当按交易所有关规定向交割服务机构交纳各项费用，并在发货前将运输方式、车（船）号、货物数量、到货时间等通知交割服务机构。</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第九十六条</w:t>
      </w:r>
      <w:r>
        <w:rPr>
          <w:rFonts w:ascii="宋体" w:eastAsia="黑体" w:hAnsi="宋体" w:cs="宋体" w:hint="eastAsia"/>
          <w:kern w:val="0"/>
          <w:sz w:val="28"/>
          <w:szCs w:val="28"/>
        </w:rPr>
        <w:t xml:space="preserve"> </w:t>
      </w:r>
      <w:r>
        <w:rPr>
          <w:rFonts w:ascii="宋体" w:hAnsi="宋体" w:cs="宋体" w:hint="eastAsia"/>
          <w:kern w:val="0"/>
          <w:sz w:val="28"/>
          <w:szCs w:val="28"/>
        </w:rPr>
        <w:t>除苹果之外的其他品种，自第三交割日起（含该日）三个交易日内，买卖双方可就车（船）板交割事宜进行协商，确定结算方式、交货地点、交货方式、交货时间等，签订《车（船）板交割协议书》。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苹果品种，第三交割日下午3时前，买卖双方通过会员在会员服务系统确认《车（船）板交货事项确认单》，逾期未确认的，视同对确认单内容无异议。</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28"/>
        </w:rPr>
        <w:t>苹果、强麦在交割计价点交割。花生委托交易所结算的，应当在交割服务机构交割。除苹果、强麦、花生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第九十八条</w:t>
      </w:r>
      <w:r>
        <w:rPr>
          <w:rFonts w:ascii="宋体" w:eastAsia="黑体" w:hAnsi="宋体" w:cs="宋体" w:hint="eastAsia"/>
          <w:kern w:val="0"/>
          <w:sz w:val="28"/>
          <w:szCs w:val="28"/>
        </w:rPr>
        <w:t xml:space="preserve"> </w:t>
      </w:r>
      <w:r>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w:t>
      </w:r>
      <w:r>
        <w:rPr>
          <w:rFonts w:ascii="宋体" w:hAnsi="宋体" w:cs="宋体" w:hint="eastAsia"/>
          <w:color w:val="000000"/>
          <w:kern w:val="0"/>
          <w:sz w:val="28"/>
          <w:szCs w:val="28"/>
        </w:rPr>
        <w:lastRenderedPageBreak/>
        <w:t>并在质量验收确认后24小时内装车发运。买方在规定的时间内因自身原因不能装车发运的，卖方不再承担该批货物的质量责任。</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苹果各交割服务机构的每日最大可交割数量、每日最大服务客户数由交易所另行公布。</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花生买卖双方应当在《车（船）板交割协议书》签订之日（不含该日）起3个日历日内进行货物交收。卖方未在第3个日历日下午1时30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买方应当在卖方货物到达之日（不含该日）起3个日历日内完成货物质量检验，并在质量验收确认后24小时内装车发运。用于质量验收的样品应由买卖双方按照国家相关标准及交易所有关规定共同扦取，就地分为二份，任选一份供买方使用；另一份由双方共同签字封样，由交割服务机构保管，作为发生质量争议时的复检样品。买方在规定的时间内因自身原因不能装车发运的，卖方不再承担该批货物的质量责任。</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苹果、花生之外的其他品种，在交割计价点交割的，买卖双方应当在互相确认《车（船）板交货事项确认单》后三个工作日内与交割计价点指定仓库或者其他交割服务机构联系，签订交割中转协议，安排交割事宜。</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28"/>
        </w:rPr>
        <w:t>动力煤买方使用车辆运输时，应自第三交割日起（含该日）6个工作日内抵达货物所在地；买方使用船舶运输时，全部或</w:t>
      </w:r>
      <w:r>
        <w:rPr>
          <w:rFonts w:ascii="宋体" w:hAnsi="宋体" w:cs="宋体" w:hint="eastAsia"/>
          <w:kern w:val="0"/>
          <w:sz w:val="28"/>
          <w:szCs w:val="28"/>
        </w:rPr>
        <w:lastRenderedPageBreak/>
        <w:t>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苹果、花生之外的其他品种，买卖双方应当自达成中转协议之日起（含该日）三日内开始交收货物。卖方须按约定的时间及发货速度把货物运达交割计价点指定仓库或指定地点。买方应当在卖方货物到达后24小时内完成货物质量检验，并在质量验收确认后24小时内装车发运。买方在规定的时间内因自身原因不能装车发运的，卖方不再承担该批货物的质量责任。交割数量较大的，卖方可分批（普麦、菜籽不低于300吨/日，双方另有约定的除外）发货到库，买方分批检验及接运货物。</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卖方承担在交割计价点交割的中转费用。在交割过程中发生临时存储的，卖方承担存储期间的仓储费用。</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第一百条</w:t>
      </w:r>
      <w:r>
        <w:rPr>
          <w:rFonts w:ascii="宋体" w:eastAsia="黑体" w:hAnsi="宋体" w:cs="宋体" w:hint="eastAsia"/>
          <w:kern w:val="0"/>
          <w:sz w:val="28"/>
          <w:szCs w:val="28"/>
        </w:rPr>
        <w:t xml:space="preserve"> </w:t>
      </w:r>
      <w:r>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C82A51" w:rsidRDefault="00C82A51" w:rsidP="00C82A51">
      <w:pPr>
        <w:widowControl/>
        <w:spacing w:line="360" w:lineRule="auto"/>
        <w:ind w:firstLineChars="200" w:firstLine="560"/>
        <w:rPr>
          <w:rFonts w:ascii="宋体" w:cs="宋体"/>
          <w:color w:val="000000"/>
          <w:kern w:val="0"/>
          <w:sz w:val="28"/>
          <w:szCs w:val="28"/>
        </w:rPr>
      </w:pPr>
      <w:r>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C82A51" w:rsidRDefault="00C82A51" w:rsidP="00C82A51">
      <w:pPr>
        <w:spacing w:line="360" w:lineRule="auto"/>
        <w:ind w:firstLineChars="200" w:firstLine="560"/>
        <w:rPr>
          <w:rFonts w:ascii="宋体" w:hAnsi="宋体"/>
          <w:color w:val="000000"/>
          <w:kern w:val="0"/>
          <w:sz w:val="28"/>
          <w:szCs w:val="28"/>
        </w:rPr>
      </w:pPr>
      <w:r>
        <w:rPr>
          <w:rFonts w:ascii="宋体" w:cs="宋体" w:hint="eastAsia"/>
          <w:color w:val="000000"/>
          <w:sz w:val="28"/>
          <w:szCs w:val="28"/>
        </w:rPr>
        <w:t>买卖双方对检验结果无异议的，该检验结果作为货物质量判定的依据。对检验结果有异议的，应协商解决。协商不一致的，</w:t>
      </w:r>
      <w:r>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Pr>
          <w:rFonts w:ascii="宋体" w:hAnsi="宋体" w:hint="eastAsia"/>
          <w:sz w:val="28"/>
          <w:szCs w:val="28"/>
        </w:rPr>
        <w:t>复检申请仅限一次，复检项目限于收到基低位发热量、干燥基全硫、干燥无灰基挥发分和干燥基灰分，计算收到基低位发热量时，全水采用初检结果</w:t>
      </w:r>
      <w:r>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w:t>
      </w:r>
      <w:r>
        <w:rPr>
          <w:rFonts w:ascii="宋体" w:hAnsi="宋体" w:cs="宋体" w:hint="eastAsia"/>
          <w:kern w:val="0"/>
          <w:sz w:val="28"/>
          <w:szCs w:val="28"/>
        </w:rPr>
        <w:lastRenderedPageBreak/>
        <w:t>检机构自收到交易所复检通知之日（不含该日）起5个工作日内应当做出复检结果，复检结果为解决争议的依据。复检费用由过错方承担，并应当在复检结果出具日（不含该日）起2个工作日内通过交割服务机构支付。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苹果买卖双方确认货物质量、数量后，在货款划转时，通过会员服务系统选择结算方式。</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花生买卖双方发生质量争议时，应当协商解决。协商不一致的，应当在货物未离开指定车（船）板交割场所情况下向交易所提出复检申请，并说明需要复检的质量指标。复检机构由买卖双方在交易所指</w:t>
      </w:r>
      <w:r>
        <w:rPr>
          <w:rFonts w:ascii="宋体" w:hAnsi="宋体" w:cs="宋体" w:hint="eastAsia"/>
          <w:kern w:val="0"/>
          <w:sz w:val="28"/>
          <w:szCs w:val="28"/>
        </w:rPr>
        <w:lastRenderedPageBreak/>
        <w:t>定质检机构中协商选取，协商不一致的由交易所确定。复检样品仅限于保留样品。复检机构应当自收到样品之日（不含该日）起3个工作日内做出复检结果，复检结果为解决争议的依据。寄送样品及复检费用由过错方承担，并应当在复检结果出具之日（不含该日）起2个工作日内通过交割服务机构支付。复检结果确定的酸价或霉变粒指标所在升贴水区间低于或等于车（船）板信息标示的升贴水区间的，或含油率指标所在升贴水区间高于或等于车（船）板信息标示的升贴水区间的，分别以车（船）板信息标示的酸价、霉变粒、含油率为准，由此产生的复检及相关费用由争议提出方承担；复检结果确定的酸价或霉变粒指标所在升贴水区间高于车（船）板信息标示的升贴水区间的，或含油率指标所在升贴水区间低于车（船）板信息标示的升贴水区间的，分别以复检结果确定的升贴水区间为准。复检结果仍在交割标准允许范围内的，买方应当接受，由此产生的一切费用和责任由卖方承担。</w:t>
      </w:r>
    </w:p>
    <w:p w:rsidR="00C82A51" w:rsidRDefault="00C82A51" w:rsidP="00C82A51">
      <w:pPr>
        <w:widowControl/>
        <w:spacing w:line="360" w:lineRule="auto"/>
        <w:ind w:firstLineChars="200" w:firstLine="560"/>
        <w:outlineLvl w:val="3"/>
        <w:rPr>
          <w:rFonts w:ascii="宋体" w:cs="宋体"/>
          <w:color w:val="000000"/>
          <w:kern w:val="0"/>
          <w:sz w:val="28"/>
          <w:szCs w:val="28"/>
        </w:rPr>
      </w:pPr>
      <w:r>
        <w:rPr>
          <w:rFonts w:ascii="宋体" w:cs="宋体" w:hint="eastAsia"/>
          <w:sz w:val="28"/>
          <w:szCs w:val="28"/>
        </w:rPr>
        <w:t>动力煤、苹果、强麦、花生之外的其他品种</w:t>
      </w:r>
      <w:r>
        <w:rPr>
          <w:rFonts w:ascii="宋体" w:hAnsi="宋体" w:cs="宋体" w:hint="eastAsia"/>
          <w:color w:val="000000"/>
          <w:kern w:val="0"/>
          <w:sz w:val="28"/>
          <w:szCs w:val="28"/>
        </w:rPr>
        <w:t>发生质量争议时，应当及时通知交易所。</w:t>
      </w:r>
      <w:r>
        <w:rPr>
          <w:rFonts w:ascii="宋体" w:cs="宋体" w:hint="eastAsia"/>
          <w:color w:val="000000"/>
          <w:sz w:val="28"/>
          <w:szCs w:val="28"/>
        </w:rPr>
        <w:t>双方把复检样品共同寄送交易所指定质检机构或者双方认可的检验机构进行复检；</w:t>
      </w:r>
      <w:r>
        <w:rPr>
          <w:rFonts w:ascii="宋体" w:hAnsi="宋体" w:cs="宋体" w:hint="eastAsia"/>
          <w:color w:val="000000"/>
          <w:kern w:val="0"/>
          <w:sz w:val="28"/>
          <w:szCs w:val="28"/>
        </w:rPr>
        <w:t>复检结果为货物质量判定的依据。寄送样品及复检费用由双方共同承担。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w:t>
      </w:r>
      <w:r>
        <w:rPr>
          <w:rFonts w:ascii="宋体" w:hAnsi="宋体" w:cs="宋体" w:hint="eastAsia"/>
          <w:kern w:val="0"/>
          <w:sz w:val="28"/>
          <w:szCs w:val="28"/>
        </w:rPr>
        <w:lastRenderedPageBreak/>
        <w:t>的货物负有保管责任，因保管不善造成货物受潮、霉变的，买方有权要求对未发运货物重新扦样、检验，卖方不得拒绝。</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普麦、强麦、菜籽、花生</w:t>
      </w:r>
      <w:r>
        <w:rPr>
          <w:rFonts w:ascii="宋体" w:hAnsi="宋体" w:cs="宋体" w:hint="eastAsia"/>
          <w:kern w:val="0"/>
          <w:sz w:val="28"/>
          <w:szCs w:val="28"/>
        </w:rPr>
        <w:t>未发运货物质量达不到交割标准的，卖方应当及时更换货物，无法更换货物的，买卖双方可协商处理，协商不一致的，未发运货物按照本办法“交割违约处理”的相关规定处理。普麦、强麦、菜籽最终货物质量以每次检验结果及所发货物数量的加权平均值核定，花生最终货物质量按每次检验结果单独核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普麦、强麦、菜籽、苹果、花生验收完成后，买卖双方签署《质量验收确认单》。《质量验收确认单》为交割货物质量判定及升贴水处理的依据。</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货物发运时，买方应到场验收并监装、监运，卖方应安排足够人力、设备，确保正常发货。普麦、强麦、菜籽、花生重量检验采用发货地过地磅称重或双方认可的其他计量方式验重。苹果重量检验采用发货地抽筐（箱）检斤或双方认可的其他计量方式验重。</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[2（元/吨）×延误天数×应发（收）而未发（收）商品数量]</w:t>
      </w:r>
      <w:r>
        <w:rPr>
          <w:rFonts w:ascii="宋体" w:hAnsi="宋体" w:cs="宋体" w:hint="eastAsia"/>
          <w:color w:val="000000"/>
          <w:kern w:val="0"/>
          <w:sz w:val="28"/>
          <w:szCs w:val="28"/>
        </w:rPr>
        <w:t>。</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w:t>
      </w:r>
      <w:r>
        <w:rPr>
          <w:rFonts w:ascii="宋体" w:hAnsi="宋体" w:cs="宋体" w:hint="eastAsia"/>
          <w:color w:val="000000"/>
          <w:kern w:val="0"/>
          <w:sz w:val="28"/>
          <w:szCs w:val="28"/>
        </w:rPr>
        <w:lastRenderedPageBreak/>
        <w:t>商品数量]。滞纳金扣罚总额不超过合约价值（按交割结算价计算）的20%。</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花生交割时，买卖双方未按规定时间交收货物，造成延误的，首先协商解决。协商不成的，守约方可以向交易所提出补偿申请，并提交相应证据。交易所经核实后，对过错方扣罚滞纳金补偿给守约方。滞纳金金额=∑[30（元/吨）×延误天数×应发（收）而未发（收）商品数量]。滞纳金扣罚总额不超过合约价值（按交割结算价计算）的20%。</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除动力煤、苹果、花生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由于不可抗力导致商品装运推迟的，可以顺延。</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已经发货的动力煤，按实际检验结果计算货款，计算结果保留</w:t>
      </w:r>
      <w:r>
        <w:rPr>
          <w:rFonts w:ascii="宋体" w:hAnsi="宋体" w:cs="宋体" w:hint="eastAsia"/>
          <w:spacing w:val="-6"/>
          <w:kern w:val="0"/>
          <w:sz w:val="28"/>
          <w:szCs w:val="28"/>
        </w:rPr>
        <w:t>小数点后两位</w:t>
      </w:r>
      <w:r>
        <w:rPr>
          <w:rFonts w:ascii="宋体" w:hAnsi="宋体" w:cs="宋体" w:hint="eastAsia"/>
          <w:kern w:val="0"/>
          <w:sz w:val="28"/>
          <w:szCs w:val="28"/>
        </w:rPr>
        <w:t>。</w:t>
      </w:r>
    </w:p>
    <w:p w:rsidR="00C82A51" w:rsidRDefault="00C82A51" w:rsidP="00C82A51">
      <w:pPr>
        <w:widowControl/>
        <w:ind w:firstLineChars="200" w:firstLine="560"/>
        <w:rPr>
          <w:rFonts w:ascii="宋体" w:hAnsi="宋体" w:cs="宋体"/>
          <w:kern w:val="0"/>
          <w:sz w:val="28"/>
          <w:szCs w:val="28"/>
        </w:rPr>
      </w:pPr>
      <w:r>
        <w:rPr>
          <w:rFonts w:ascii="宋体" w:hAnsi="宋体" w:cs="宋体" w:hint="eastAsia"/>
          <w:kern w:val="0"/>
          <w:sz w:val="28"/>
          <w:szCs w:val="28"/>
        </w:rPr>
        <w:t>收到基低位发热量≥5300千卡/千克时，货款结算价（四舍五入，保留小数点后两位）=交割结算价/5500×实测发热量；收到基低位发热量超过6000千卡/千克时，按6000千卡/千克计算货款。</w:t>
      </w:r>
    </w:p>
    <w:p w:rsidR="00C82A51" w:rsidRDefault="00C82A51" w:rsidP="00C82A51">
      <w:pPr>
        <w:widowControl/>
        <w:ind w:firstLineChars="200" w:firstLine="560"/>
        <w:rPr>
          <w:rFonts w:ascii="宋体" w:hAnsi="宋体" w:cs="宋体"/>
          <w:kern w:val="0"/>
          <w:sz w:val="28"/>
          <w:szCs w:val="28"/>
        </w:rPr>
      </w:pPr>
      <w:r>
        <w:rPr>
          <w:rFonts w:ascii="宋体" w:hAnsi="宋体" w:cs="宋体" w:hint="eastAsia"/>
          <w:kern w:val="0"/>
          <w:sz w:val="28"/>
          <w:szCs w:val="28"/>
        </w:rPr>
        <w:t>4800千卡/千克≤收到基低位发热量＜5300千卡/千克时，货款结算价（四舍五入，保留小数点后两位）=交割结算价×0.8768/5000×实测发热量；</w:t>
      </w:r>
    </w:p>
    <w:p w:rsidR="00C82A51" w:rsidRDefault="00C82A51" w:rsidP="00C82A51">
      <w:pPr>
        <w:widowControl/>
        <w:ind w:firstLineChars="200" w:firstLine="560"/>
        <w:rPr>
          <w:rFonts w:ascii="宋体" w:hAnsi="宋体" w:cs="宋体"/>
          <w:kern w:val="0"/>
          <w:sz w:val="28"/>
          <w:szCs w:val="28"/>
        </w:rPr>
      </w:pPr>
      <w:r>
        <w:rPr>
          <w:rFonts w:ascii="宋体" w:hAnsi="宋体" w:cs="宋体" w:hint="eastAsia"/>
          <w:kern w:val="0"/>
          <w:sz w:val="28"/>
          <w:szCs w:val="28"/>
        </w:rPr>
        <w:lastRenderedPageBreak/>
        <w:t>4300千卡/千克≤收到基低位发热量＜4800千卡/千克时，货款结算价（四舍五入，保留小数点后两位）=交割结算价×0.7687/4500×实测发热量；</w:t>
      </w:r>
    </w:p>
    <w:p w:rsidR="00C82A51" w:rsidRDefault="00C82A51" w:rsidP="00C82A51">
      <w:pPr>
        <w:widowControl/>
        <w:ind w:firstLineChars="200" w:firstLine="560"/>
        <w:rPr>
          <w:rFonts w:ascii="宋体" w:hAnsi="宋体" w:cs="宋体"/>
          <w:kern w:val="0"/>
          <w:sz w:val="28"/>
          <w:szCs w:val="28"/>
        </w:rPr>
      </w:pPr>
      <w:r>
        <w:rPr>
          <w:rFonts w:ascii="宋体" w:hAnsi="宋体" w:cs="宋体" w:hint="eastAsia"/>
          <w:kern w:val="0"/>
          <w:sz w:val="28"/>
          <w:szCs w:val="28"/>
        </w:rPr>
        <w:t>收到基低位发热量＜4300千卡/千克，货款结算价=交割结算价×0.7687/4500×实测发热量×50%。</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sz w:val="28"/>
          <w:szCs w:val="28"/>
        </w:rPr>
        <w:t>干燥基全硫、干燥无灰基挥发分、干燥基灰分指标超出交割品范围的</w:t>
      </w:r>
      <w:r>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7371" w:type="dxa"/>
        <w:tblInd w:w="434"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106"/>
        <w:gridCol w:w="4265"/>
      </w:tblGrid>
      <w:tr w:rsidR="00C82A51" w:rsidTr="0052409E">
        <w:tc>
          <w:tcPr>
            <w:tcW w:w="3106" w:type="dxa"/>
            <w:tcBorders>
              <w:top w:val="outset" w:sz="6" w:space="0" w:color="000000"/>
              <w:left w:val="outset" w:sz="6" w:space="0" w:color="000000"/>
              <w:bottom w:val="outset" w:sz="6" w:space="0" w:color="000000"/>
              <w:right w:val="outset" w:sz="6" w:space="0" w:color="000000"/>
            </w:tcBorders>
            <w:vAlign w:val="center"/>
            <w:hideMark/>
          </w:tcPr>
          <w:p w:rsidR="00C82A51" w:rsidRDefault="00C82A51" w:rsidP="0052409E">
            <w:pPr>
              <w:spacing w:line="360" w:lineRule="auto"/>
              <w:jc w:val="center"/>
              <w:rPr>
                <w:rFonts w:ascii="宋体" w:hAnsi="宋体"/>
                <w:sz w:val="24"/>
                <w:szCs w:val="30"/>
              </w:rPr>
            </w:pPr>
            <w:r>
              <w:rPr>
                <w:rFonts w:ascii="宋体" w:hAnsi="宋体" w:hint="eastAsia"/>
                <w:sz w:val="24"/>
                <w:szCs w:val="30"/>
              </w:rPr>
              <w:t>指标范围</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82A51" w:rsidRDefault="00C82A51" w:rsidP="0052409E">
            <w:pPr>
              <w:spacing w:line="360" w:lineRule="auto"/>
              <w:jc w:val="center"/>
              <w:rPr>
                <w:rFonts w:ascii="宋体" w:hAnsi="宋体"/>
                <w:sz w:val="24"/>
                <w:szCs w:val="30"/>
              </w:rPr>
            </w:pPr>
            <w:r>
              <w:rPr>
                <w:rFonts w:ascii="宋体" w:hAnsi="宋体" w:hint="eastAsia"/>
                <w:sz w:val="24"/>
                <w:szCs w:val="30"/>
              </w:rPr>
              <w:t>计算方法</w:t>
            </w:r>
          </w:p>
        </w:tc>
      </w:tr>
      <w:tr w:rsidR="00C82A51" w:rsidTr="0052409E">
        <w:tc>
          <w:tcPr>
            <w:tcW w:w="3106" w:type="dxa"/>
            <w:tcBorders>
              <w:top w:val="outset" w:sz="6" w:space="0" w:color="000000"/>
              <w:left w:val="outset" w:sz="6" w:space="0" w:color="000000"/>
              <w:bottom w:val="outset" w:sz="6" w:space="0" w:color="000000"/>
              <w:right w:val="outset" w:sz="6" w:space="0" w:color="000000"/>
            </w:tcBorders>
            <w:vAlign w:val="center"/>
            <w:hideMark/>
          </w:tcPr>
          <w:p w:rsidR="00C82A51" w:rsidRDefault="00C82A51" w:rsidP="0052409E">
            <w:pPr>
              <w:spacing w:line="360" w:lineRule="auto"/>
              <w:jc w:val="center"/>
              <w:rPr>
                <w:rFonts w:ascii="宋体" w:hAnsi="宋体"/>
                <w:sz w:val="24"/>
                <w:szCs w:val="30"/>
              </w:rPr>
            </w:pPr>
            <w:r>
              <w:rPr>
                <w:rFonts w:ascii="宋体" w:hAnsi="宋体" w:hint="eastAsia"/>
                <w:sz w:val="24"/>
                <w:szCs w:val="30"/>
              </w:rPr>
              <w:t>1.5%＜干燥基全硫≤2.5%</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82A51" w:rsidRDefault="00C82A51" w:rsidP="0052409E">
            <w:pPr>
              <w:spacing w:line="360" w:lineRule="auto"/>
              <w:jc w:val="center"/>
              <w:rPr>
                <w:rFonts w:ascii="宋体" w:hAnsi="宋体"/>
                <w:sz w:val="24"/>
                <w:szCs w:val="30"/>
              </w:rPr>
            </w:pPr>
            <w:r>
              <w:rPr>
                <w:rFonts w:ascii="宋体" w:hAnsi="宋体" w:hint="eastAsia"/>
                <w:sz w:val="24"/>
                <w:szCs w:val="30"/>
              </w:rPr>
              <w:t>依据实测发热量和干燥基全硫为1.5%时的计算值×80%</w:t>
            </w:r>
          </w:p>
        </w:tc>
      </w:tr>
      <w:tr w:rsidR="00C82A51" w:rsidTr="0052409E">
        <w:tc>
          <w:tcPr>
            <w:tcW w:w="3106" w:type="dxa"/>
            <w:tcBorders>
              <w:top w:val="outset" w:sz="6" w:space="0" w:color="000000"/>
              <w:left w:val="outset" w:sz="6" w:space="0" w:color="000000"/>
              <w:bottom w:val="outset" w:sz="6" w:space="0" w:color="000000"/>
              <w:right w:val="outset" w:sz="6" w:space="0" w:color="000000"/>
            </w:tcBorders>
            <w:vAlign w:val="center"/>
            <w:hideMark/>
          </w:tcPr>
          <w:p w:rsidR="00C82A51" w:rsidRDefault="00C82A51" w:rsidP="0052409E">
            <w:pPr>
              <w:spacing w:line="360" w:lineRule="auto"/>
              <w:jc w:val="center"/>
              <w:rPr>
                <w:rFonts w:ascii="宋体" w:hAnsi="宋体"/>
                <w:sz w:val="24"/>
                <w:szCs w:val="30"/>
              </w:rPr>
            </w:pPr>
            <w:r>
              <w:rPr>
                <w:rFonts w:ascii="宋体" w:hAnsi="宋体" w:hint="eastAsia"/>
                <w:sz w:val="24"/>
                <w:szCs w:val="30"/>
              </w:rPr>
              <w:t>干燥基全硫＞2.5%</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82A51" w:rsidRDefault="00C82A51" w:rsidP="0052409E">
            <w:pPr>
              <w:spacing w:line="360" w:lineRule="auto"/>
              <w:jc w:val="center"/>
              <w:rPr>
                <w:rFonts w:ascii="宋体" w:hAnsi="宋体"/>
                <w:sz w:val="24"/>
                <w:szCs w:val="30"/>
              </w:rPr>
            </w:pPr>
            <w:r>
              <w:rPr>
                <w:rFonts w:ascii="宋体" w:hAnsi="宋体" w:hint="eastAsia"/>
                <w:sz w:val="24"/>
                <w:szCs w:val="30"/>
              </w:rPr>
              <w:t>依据实测发热量和干燥基全硫为1.5%时的计算值×50%</w:t>
            </w:r>
          </w:p>
        </w:tc>
      </w:tr>
      <w:tr w:rsidR="00C82A51" w:rsidTr="0052409E">
        <w:trPr>
          <w:trHeight w:val="1204"/>
        </w:trPr>
        <w:tc>
          <w:tcPr>
            <w:tcW w:w="3106" w:type="dxa"/>
            <w:tcBorders>
              <w:top w:val="outset" w:sz="6" w:space="0" w:color="000000"/>
              <w:left w:val="outset" w:sz="6" w:space="0" w:color="000000"/>
              <w:bottom w:val="outset" w:sz="6" w:space="0" w:color="000000"/>
              <w:right w:val="outset" w:sz="6" w:space="0" w:color="000000"/>
            </w:tcBorders>
            <w:vAlign w:val="center"/>
            <w:hideMark/>
          </w:tcPr>
          <w:p w:rsidR="00C82A51" w:rsidRDefault="00C82A51" w:rsidP="0052409E">
            <w:pPr>
              <w:spacing w:line="360" w:lineRule="auto"/>
              <w:jc w:val="center"/>
              <w:rPr>
                <w:rFonts w:ascii="宋体" w:hAnsi="宋体"/>
                <w:sz w:val="24"/>
                <w:szCs w:val="30"/>
              </w:rPr>
            </w:pPr>
            <w:r>
              <w:rPr>
                <w:rFonts w:ascii="宋体" w:hAnsi="宋体" w:hint="eastAsia"/>
                <w:sz w:val="24"/>
                <w:szCs w:val="30"/>
              </w:rPr>
              <w:t>干燥无灰基挥发分或干燥基灰分超出交割品范围</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82A51" w:rsidRDefault="00C82A51" w:rsidP="0052409E">
            <w:pPr>
              <w:spacing w:line="360" w:lineRule="auto"/>
              <w:jc w:val="center"/>
              <w:rPr>
                <w:rFonts w:ascii="宋体" w:hAnsi="宋体"/>
                <w:sz w:val="24"/>
                <w:szCs w:val="30"/>
              </w:rPr>
            </w:pPr>
            <w:r>
              <w:rPr>
                <w:rFonts w:ascii="宋体" w:hAnsi="宋体" w:hint="eastAsia"/>
                <w:sz w:val="24"/>
                <w:szCs w:val="30"/>
              </w:rPr>
              <w:t>依据实测发热量和实测干燥基全硫的计算值×80%</w:t>
            </w:r>
          </w:p>
        </w:tc>
      </w:tr>
    </w:tbl>
    <w:p w:rsidR="00C82A51" w:rsidRDefault="00C82A51" w:rsidP="00C82A51">
      <w:pPr>
        <w:widowControl/>
        <w:spacing w:before="240"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C82A51" w:rsidRDefault="00C82A51" w:rsidP="00C82A51">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增值税专用（普通）发票的流转</w:t>
      </w:r>
    </w:p>
    <w:p w:rsidR="00C82A51" w:rsidRDefault="00C82A51" w:rsidP="00C82A5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C82A51" w:rsidRDefault="00C82A51" w:rsidP="00C82A51">
      <w:pPr>
        <w:widowControl/>
        <w:spacing w:line="360" w:lineRule="auto"/>
        <w:ind w:firstLineChars="202" w:firstLine="566"/>
        <w:rPr>
          <w:rFonts w:ascii="宋体" w:hAnsi="宋体" w:cs="宋体"/>
          <w:color w:val="000000"/>
          <w:kern w:val="0"/>
          <w:sz w:val="28"/>
          <w:szCs w:val="28"/>
        </w:rPr>
      </w:pPr>
      <w:r>
        <w:rPr>
          <w:rFonts w:ascii="宋体" w:hAnsi="宋体" w:cs="宋体" w:hint="eastAsia"/>
          <w:color w:val="000000"/>
          <w:kern w:val="0"/>
          <w:sz w:val="28"/>
          <w:szCs w:val="28"/>
        </w:rPr>
        <w:t>菜粕开具增值税普通发票。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苹果、红枣、花生</w:t>
      </w:r>
      <w:r>
        <w:rPr>
          <w:rFonts w:ascii="宋体" w:hAnsi="宋体" w:cs="宋体" w:hint="eastAsia"/>
          <w:color w:val="000000"/>
          <w:kern w:val="0"/>
          <w:sz w:val="28"/>
          <w:szCs w:val="28"/>
        </w:rPr>
        <w:t>开具</w:t>
      </w:r>
      <w:r>
        <w:rPr>
          <w:rFonts w:ascii="宋体" w:hAnsi="宋体" w:cs="宋体" w:hint="eastAsia"/>
          <w:kern w:val="0"/>
          <w:sz w:val="28"/>
          <w:szCs w:val="28"/>
        </w:rPr>
        <w:t>增值税专用发票或农产品销售发票。</w:t>
      </w:r>
    </w:p>
    <w:p w:rsidR="00C82A51" w:rsidRDefault="00C82A51" w:rsidP="00C82A5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配对日后的一个工作日内，买方应按照税务机关的规定将开具增值税发票所需的具体信息通知卖方。标准仓单交割的，自第三交割日（不含该日）起7个交易日内，卖方应当提交增值税专</w:t>
      </w:r>
      <w:r>
        <w:rPr>
          <w:rFonts w:ascii="宋体" w:hAnsi="宋体" w:cs="宋体" w:hint="eastAsia"/>
          <w:kern w:val="0"/>
          <w:sz w:val="28"/>
          <w:szCs w:val="28"/>
        </w:rPr>
        <w:lastRenderedPageBreak/>
        <w:t>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买方会员应在收到卖方会员转交的增值税专用（普通）发票两个工作日内（含该日），对增值税专用（普通）发票进行确认。</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C82A51" w:rsidRDefault="00C82A51" w:rsidP="00C82A51">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自第三交割日（不含该日）起超过7个交易日，买方会员仍未提供有关资料的，交易所划转剩余20%货款至卖方会员，由此造成的后果由买方自负。</w:t>
      </w:r>
    </w:p>
    <w:p w:rsidR="000C0D2F"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交易所可根据国家税收政策变化，对违约金比例作相应调整。</w:t>
      </w:r>
    </w:p>
    <w:p w:rsidR="000C0D2F" w:rsidRDefault="000C0D2F">
      <w:pPr>
        <w:widowControl/>
        <w:jc w:val="left"/>
        <w:rPr>
          <w:rFonts w:ascii="宋体" w:hAnsi="宋体" w:cs="宋体"/>
          <w:kern w:val="0"/>
          <w:sz w:val="28"/>
          <w:szCs w:val="28"/>
        </w:rPr>
      </w:pPr>
      <w:r>
        <w:rPr>
          <w:rFonts w:ascii="宋体" w:hAnsi="宋体" w:cs="宋体"/>
          <w:kern w:val="0"/>
          <w:sz w:val="28"/>
          <w:szCs w:val="28"/>
        </w:rPr>
        <w:br w:type="page"/>
      </w:r>
    </w:p>
    <w:p w:rsidR="00C82A51" w:rsidRDefault="00C82A51" w:rsidP="00C82A51">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lastRenderedPageBreak/>
        <w:t>第七章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期货转现货</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期转现流程：</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（一）期货合约自上市之日起到该合约最后交易日期间，均可进行期转现；</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（四）用标准仓单进行期转现，可由交易所进行货款划转；</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1.买方提交期转现申请前应当有20%以上的货款，货款不足的不予批准或者办理。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3.增值税专用（普通）发票由卖方客户向买方客户按照双方商定的交货价格开具，具体办法按照本细则有关规定执行。</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（五）非标准仓单的期转现，货款划转方式由双方协商确定。</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1.买卖双方应当提供相关现货买卖协议。</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2.货物交收和货款划转由买卖双方自行协商确定，由此产生的纠纷自行解决，交易所不承担责任。</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（六）交易所适时公布期转现的有关信息。</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买卖双方各自负担标准仓单期转现中仓单转让环节的手续费。</w:t>
      </w:r>
    </w:p>
    <w:p w:rsidR="00C82A51" w:rsidRDefault="00C82A51" w:rsidP="00C82A51">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交易所发现会员或者客户在期转现中弄虚作假的，按《郑州商品交易所违规处理办法》的有关规定予以处罚。</w:t>
      </w:r>
    </w:p>
    <w:p w:rsidR="000C0D2F" w:rsidRDefault="000C0D2F" w:rsidP="00C82A51">
      <w:pPr>
        <w:widowControl/>
        <w:spacing w:line="360" w:lineRule="auto"/>
        <w:jc w:val="center"/>
        <w:outlineLvl w:val="1"/>
        <w:rPr>
          <w:rFonts w:ascii="宋体" w:eastAsia="黑体" w:hAnsi="宋体" w:cs="宋体" w:hint="eastAsia"/>
          <w:kern w:val="0"/>
          <w:sz w:val="32"/>
          <w:szCs w:val="28"/>
        </w:rPr>
      </w:pPr>
    </w:p>
    <w:p w:rsidR="00C82A51" w:rsidRDefault="00C82A51" w:rsidP="00C82A51">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lastRenderedPageBreak/>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交割费用</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棉花、白糖、早籼稻、晚籼稻、粳稻运达仓库指定货位前的一切费用由卖方客户承担；从指定货位到装上车、船（汽车、火车、轮船）板的费用由买方客户承担。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普麦、车板菜籽、车板苹果、车板花生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玻璃、棉纱、短纤、仓单花生用汽车提货的，装到汽车板前的一切费用由厂库承担，装到汽车板后的一切费用由提货方承担。玻璃用船提货的，提货方需支付短驳费和码头使用费。</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w:t>
      </w:r>
      <w:r>
        <w:rPr>
          <w:rFonts w:ascii="宋体" w:hAnsi="宋体" w:cs="宋体" w:hint="eastAsia"/>
          <w:color w:val="000000"/>
          <w:kern w:val="0"/>
          <w:sz w:val="28"/>
          <w:szCs w:val="28"/>
        </w:rPr>
        <w:lastRenderedPageBreak/>
        <w:t>提货的，动力煤装至短倒车辆车板前的一切费用由厂库承担，其余费用由提货方承担。</w:t>
      </w:r>
    </w:p>
    <w:p w:rsidR="00C82A51" w:rsidRDefault="00C82A51" w:rsidP="00C82A51">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各品种出入库费用、交割计价点中转费用、交割手续费、仓储费及检验费等标准由交易所公告。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仓单普麦、仓单菜籽、菜油、菜粕、早籼稻、晚籼稻、粳稻、红枣入库检验费用由仓库承担，其他品种的入库检验费由卖方货主承担。</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普麦、强麦、早籼稻、晚籼稻、粳稻、苹果无包装物。棉花、白糖、PTA、菜籽、菜粕、硅铁、锰硅、棉纱、红枣、尿素、纯碱、短纤、花生包装物不另行计价。</w:t>
      </w:r>
    </w:p>
    <w:p w:rsidR="00C82A51" w:rsidRDefault="00C82A51" w:rsidP="00C82A51">
      <w:pPr>
        <w:widowControl/>
        <w:spacing w:line="360" w:lineRule="auto"/>
        <w:ind w:firstLineChars="200" w:firstLine="560"/>
        <w:outlineLvl w:val="3"/>
        <w:rPr>
          <w:rFonts w:ascii="仿宋_GB2312" w:eastAsia="仿宋_GB2312" w:hAnsi="仿宋" w:cs="宋体"/>
          <w:kern w:val="52"/>
          <w:sz w:val="28"/>
          <w:szCs w:val="28"/>
        </w:rPr>
      </w:pPr>
      <w:r>
        <w:rPr>
          <w:rFonts w:ascii="宋体" w:hAnsi="宋体" w:cs="宋体" w:hint="eastAsia"/>
          <w:kern w:val="0"/>
          <w:sz w:val="28"/>
          <w:szCs w:val="28"/>
        </w:rPr>
        <w:t>玻璃买方客户有需要的，玻璃厂库应该提供包装物及包装辅助物，收费方式及标准随厂库一并公告。</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根据国家政策规定和市场变化，交易所需要调整有关费用标准时，另行公告。</w:t>
      </w:r>
    </w:p>
    <w:p w:rsidR="00C82A51" w:rsidRDefault="00C82A51" w:rsidP="00C82A51">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交割违约处理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具有下列行为之一的，构成交割违约：</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（一）规定期限内，卖方未能如数交付标准仓单或未能如数交付实物的；</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（二）规定期限内，买方未能如数解付货款的；</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（三）车（船）板卖方交割的货物质量不符合交割质量规定的；</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（四）交易所认定的其他违约行为。</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构成交割违约的，由违约方支付违约部分合约价值（按交割结算价计算）20%的违约金给守约方。买卖双方终止交割。</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计算买方交割违约合约数量时，交易所应对违约部分预扣合约价值20%的违约金。</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计算卖方交割违约合约数量的公式为：</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卖方交割违约合约数量（手）=[应交标准仓单数量（张）-已交标准仓单数量（张）]×交割单位÷交易单位</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计算买方交割违约合约数量的公式为：</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买方接到的仓单为完税标准仓单的，买方交割违约合约数量（手）=（应交货款 -已交货款）÷（1-20%）÷（交割结算价+包装物单价）÷交易单位</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买卖双方同时违约的，交易所按终止交割处理，并对双方分别处以违约部分合约价值5%的罚款。</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会员发生部分交割违约时，违约会员所接标准仓单或者所得货款可用于违约处理。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第一百二十五条</w:t>
      </w:r>
      <w:r>
        <w:rPr>
          <w:rFonts w:ascii="宋体" w:eastAsia="黑体" w:hAnsi="宋体" w:cs="宋体" w:hint="eastAsia"/>
          <w:kern w:val="0"/>
          <w:sz w:val="28"/>
          <w:szCs w:val="28"/>
        </w:rPr>
        <w:t xml:space="preserve"> </w:t>
      </w:r>
      <w:r>
        <w:rPr>
          <w:rFonts w:ascii="宋体" w:hAnsi="宋体" w:cs="宋体" w:hint="eastAsia"/>
          <w:kern w:val="0"/>
          <w:sz w:val="28"/>
          <w:szCs w:val="28"/>
        </w:rPr>
        <w:t>按本细则规定出现终止交割情形时，交易所的担保责任了结。</w:t>
      </w:r>
    </w:p>
    <w:p w:rsidR="00C82A51" w:rsidRDefault="00C82A51" w:rsidP="00C82A51">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附则</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第一百二十六条</w:t>
      </w:r>
      <w:r>
        <w:rPr>
          <w:rFonts w:ascii="宋体" w:eastAsia="黑体" w:hAnsi="宋体" w:cs="宋体" w:hint="eastAsia"/>
          <w:kern w:val="0"/>
          <w:sz w:val="28"/>
          <w:szCs w:val="28"/>
        </w:rPr>
        <w:t xml:space="preserve"> </w:t>
      </w:r>
      <w:r>
        <w:rPr>
          <w:rFonts w:ascii="宋体" w:hAnsi="宋体" w:cs="宋体" w:hint="eastAsia"/>
          <w:kern w:val="0"/>
          <w:sz w:val="28"/>
          <w:szCs w:val="28"/>
        </w:rPr>
        <w:t>违反本细则规定的，交易所按《郑州商品交易所违规处理办法》有关规定处理。</w:t>
      </w:r>
    </w:p>
    <w:p w:rsidR="00C82A51" w:rsidRDefault="00C82A51" w:rsidP="00C82A5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第一百二十七条</w:t>
      </w:r>
      <w:r>
        <w:rPr>
          <w:rFonts w:ascii="宋体" w:eastAsia="黑体" w:hAnsi="宋体" w:cs="宋体" w:hint="eastAsia"/>
          <w:kern w:val="0"/>
          <w:sz w:val="28"/>
          <w:szCs w:val="28"/>
        </w:rPr>
        <w:t xml:space="preserve"> </w:t>
      </w:r>
      <w:r>
        <w:rPr>
          <w:rFonts w:ascii="宋体" w:hAnsi="宋体" w:cs="宋体" w:hint="eastAsia"/>
          <w:kern w:val="0"/>
          <w:sz w:val="28"/>
          <w:szCs w:val="28"/>
        </w:rPr>
        <w:t>有关夜盘交易相关的交割业务，郑州商品交易所夜盘交易细则有特殊规定的，从其规定。</w:t>
      </w:r>
    </w:p>
    <w:p w:rsidR="00C82A51" w:rsidRDefault="00C82A51" w:rsidP="00C82A51">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第一百二十八条</w:t>
      </w:r>
      <w:r>
        <w:rPr>
          <w:rFonts w:ascii="宋体" w:eastAsia="黑体" w:hAnsi="宋体" w:cs="宋体" w:hint="eastAsia"/>
          <w:kern w:val="0"/>
          <w:sz w:val="28"/>
          <w:szCs w:val="28"/>
        </w:rPr>
        <w:t xml:space="preserve"> </w:t>
      </w:r>
      <w:r>
        <w:rPr>
          <w:rFonts w:ascii="宋体" w:hAnsi="宋体" w:cs="宋体" w:hint="eastAsia"/>
          <w:kern w:val="0"/>
          <w:sz w:val="28"/>
          <w:szCs w:val="28"/>
        </w:rPr>
        <w:t>本细则解释权属于郑州商品交易所。</w:t>
      </w:r>
    </w:p>
    <w:p w:rsidR="00C82A51" w:rsidRDefault="00C82A51" w:rsidP="00C82A51">
      <w:pPr>
        <w:widowControl/>
        <w:spacing w:line="360" w:lineRule="auto"/>
        <w:ind w:firstLineChars="200" w:firstLine="560"/>
        <w:outlineLvl w:val="1"/>
        <w:rPr>
          <w:rFonts w:ascii="宋体" w:hAnsi="宋体"/>
          <w:sz w:val="24"/>
        </w:rPr>
      </w:pPr>
      <w:r>
        <w:rPr>
          <w:rFonts w:ascii="宋体" w:eastAsia="黑体" w:hAnsi="宋体" w:cs="宋体" w:hint="eastAsia"/>
          <w:kern w:val="0"/>
          <w:sz w:val="28"/>
          <w:szCs w:val="28"/>
        </w:rPr>
        <w:t>第一百二十九条</w:t>
      </w:r>
      <w:r>
        <w:rPr>
          <w:rFonts w:ascii="宋体" w:eastAsia="黑体" w:hAnsi="宋体" w:cs="宋体" w:hint="eastAsia"/>
          <w:kern w:val="0"/>
          <w:sz w:val="28"/>
          <w:szCs w:val="28"/>
        </w:rPr>
        <w:t xml:space="preserve"> </w:t>
      </w:r>
      <w:r>
        <w:rPr>
          <w:rFonts w:ascii="宋体" w:hAnsi="宋体" w:cs="宋体" w:hint="eastAsia"/>
          <w:kern w:val="0"/>
          <w:sz w:val="28"/>
          <w:szCs w:val="28"/>
        </w:rPr>
        <w:t>本细则自2022年6月24日起施行。</w:t>
      </w:r>
    </w:p>
    <w:p w:rsidR="00C82A51" w:rsidRDefault="00C82A51" w:rsidP="00C82A51">
      <w:pPr>
        <w:rPr>
          <w:rFonts w:ascii="仿宋" w:eastAsia="仿宋" w:hAnsi="仿宋"/>
          <w:sz w:val="32"/>
        </w:rPr>
      </w:pPr>
    </w:p>
    <w:p w:rsidR="002B58FB" w:rsidRPr="00C82A51" w:rsidRDefault="002B58FB"/>
    <w:sectPr w:rsidR="002B58FB" w:rsidRPr="00C82A51" w:rsidSect="002B58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BB" w:rsidRDefault="00EC75BB" w:rsidP="00C82A51">
      <w:r>
        <w:separator/>
      </w:r>
    </w:p>
  </w:endnote>
  <w:endnote w:type="continuationSeparator" w:id="1">
    <w:p w:rsidR="00EC75BB" w:rsidRDefault="00EC75BB" w:rsidP="00C82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BB" w:rsidRDefault="00EC75BB" w:rsidP="00C82A51">
      <w:r>
        <w:separator/>
      </w:r>
    </w:p>
  </w:footnote>
  <w:footnote w:type="continuationSeparator" w:id="1">
    <w:p w:rsidR="00EC75BB" w:rsidRDefault="00EC75BB" w:rsidP="00C82A51">
      <w:r>
        <w:continuationSeparator/>
      </w:r>
    </w:p>
  </w:footnote>
  <w:footnote w:id="2">
    <w:p w:rsidR="00C82A51" w:rsidRDefault="00C82A51" w:rsidP="00C82A51">
      <w:pPr>
        <w:pStyle w:val="a4"/>
        <w:rPr>
          <w:rFonts w:ascii="仿宋" w:eastAsia="仿宋" w:hAnsi="仿宋"/>
        </w:rPr>
      </w:pPr>
      <w:r>
        <w:rPr>
          <w:rStyle w:val="a7"/>
          <w:rFonts w:ascii="仿宋" w:eastAsia="仿宋" w:hAnsi="仿宋" w:hint="eastAsia"/>
          <w:sz w:val="20"/>
        </w:rPr>
        <w:t>1</w:t>
      </w:r>
      <w:r>
        <w:rPr>
          <w:rFonts w:ascii="仿宋" w:eastAsia="仿宋" w:hAnsi="仿宋" w:hint="eastAsia"/>
          <w:sz w:val="21"/>
          <w:szCs w:val="21"/>
        </w:rPr>
        <w:t>指由交易所指定交割厂库生产，但未经交易所注册生成标准仓单的棉纱</w:t>
      </w:r>
      <w:r>
        <w:rPr>
          <w:rFonts w:ascii="仿宋" w:eastAsia="仿宋" w:hAnsi="仿宋" w:hint="eastAsia"/>
          <w:sz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A51"/>
    <w:rsid w:val="000024BD"/>
    <w:rsid w:val="0000297B"/>
    <w:rsid w:val="00003C50"/>
    <w:rsid w:val="000078F5"/>
    <w:rsid w:val="00013139"/>
    <w:rsid w:val="00014CD2"/>
    <w:rsid w:val="00015B61"/>
    <w:rsid w:val="0001698C"/>
    <w:rsid w:val="000175A1"/>
    <w:rsid w:val="00017C7D"/>
    <w:rsid w:val="00022179"/>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3D86"/>
    <w:rsid w:val="00043F4E"/>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01D"/>
    <w:rsid w:val="000717CD"/>
    <w:rsid w:val="000721DE"/>
    <w:rsid w:val="000726CF"/>
    <w:rsid w:val="00073D5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3566"/>
    <w:rsid w:val="00094413"/>
    <w:rsid w:val="000A052B"/>
    <w:rsid w:val="000A2ACE"/>
    <w:rsid w:val="000A3536"/>
    <w:rsid w:val="000A4B72"/>
    <w:rsid w:val="000A572F"/>
    <w:rsid w:val="000A63A0"/>
    <w:rsid w:val="000A7D54"/>
    <w:rsid w:val="000B0B9E"/>
    <w:rsid w:val="000B1060"/>
    <w:rsid w:val="000B20B7"/>
    <w:rsid w:val="000B2B77"/>
    <w:rsid w:val="000B62FD"/>
    <w:rsid w:val="000B75F7"/>
    <w:rsid w:val="000C0314"/>
    <w:rsid w:val="000C0D2F"/>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DB1"/>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A7708"/>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3606"/>
    <w:rsid w:val="001F4F73"/>
    <w:rsid w:val="001F7136"/>
    <w:rsid w:val="002005A3"/>
    <w:rsid w:val="00200BF0"/>
    <w:rsid w:val="00203090"/>
    <w:rsid w:val="00204AD7"/>
    <w:rsid w:val="00205204"/>
    <w:rsid w:val="00205CA9"/>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17C2"/>
    <w:rsid w:val="00232DF7"/>
    <w:rsid w:val="00235F45"/>
    <w:rsid w:val="00242965"/>
    <w:rsid w:val="00243E6F"/>
    <w:rsid w:val="002451B0"/>
    <w:rsid w:val="00245390"/>
    <w:rsid w:val="00246655"/>
    <w:rsid w:val="002475DA"/>
    <w:rsid w:val="00251387"/>
    <w:rsid w:val="0025358E"/>
    <w:rsid w:val="00253C3A"/>
    <w:rsid w:val="00257664"/>
    <w:rsid w:val="002623BE"/>
    <w:rsid w:val="00262EEF"/>
    <w:rsid w:val="002640C3"/>
    <w:rsid w:val="0026496C"/>
    <w:rsid w:val="00265ABF"/>
    <w:rsid w:val="00270512"/>
    <w:rsid w:val="002707DB"/>
    <w:rsid w:val="002726C6"/>
    <w:rsid w:val="00277FBD"/>
    <w:rsid w:val="002839FB"/>
    <w:rsid w:val="00283E9B"/>
    <w:rsid w:val="002851F8"/>
    <w:rsid w:val="00286799"/>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3D5"/>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3C82"/>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160C"/>
    <w:rsid w:val="00432937"/>
    <w:rsid w:val="00433719"/>
    <w:rsid w:val="0043470A"/>
    <w:rsid w:val="00435EDE"/>
    <w:rsid w:val="00435EE4"/>
    <w:rsid w:val="00436F7F"/>
    <w:rsid w:val="004374C6"/>
    <w:rsid w:val="0044001E"/>
    <w:rsid w:val="004407C4"/>
    <w:rsid w:val="0044217B"/>
    <w:rsid w:val="00442BC6"/>
    <w:rsid w:val="00442D3F"/>
    <w:rsid w:val="00443FB5"/>
    <w:rsid w:val="00445C07"/>
    <w:rsid w:val="00445F01"/>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7FBA"/>
    <w:rsid w:val="00480311"/>
    <w:rsid w:val="004816CE"/>
    <w:rsid w:val="004820FE"/>
    <w:rsid w:val="00482615"/>
    <w:rsid w:val="00482D84"/>
    <w:rsid w:val="00483388"/>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2E3"/>
    <w:rsid w:val="00521718"/>
    <w:rsid w:val="005222E6"/>
    <w:rsid w:val="00523688"/>
    <w:rsid w:val="00523E81"/>
    <w:rsid w:val="00523EEC"/>
    <w:rsid w:val="00523F08"/>
    <w:rsid w:val="0052436D"/>
    <w:rsid w:val="0052489F"/>
    <w:rsid w:val="00525091"/>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155"/>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3516"/>
    <w:rsid w:val="005F48C4"/>
    <w:rsid w:val="005F59F7"/>
    <w:rsid w:val="005F7D04"/>
    <w:rsid w:val="005F7D89"/>
    <w:rsid w:val="005F7DCC"/>
    <w:rsid w:val="00600FD6"/>
    <w:rsid w:val="00603AD5"/>
    <w:rsid w:val="00606781"/>
    <w:rsid w:val="00607CE2"/>
    <w:rsid w:val="00610B73"/>
    <w:rsid w:val="00610CC3"/>
    <w:rsid w:val="0061397D"/>
    <w:rsid w:val="0061488B"/>
    <w:rsid w:val="00614DD2"/>
    <w:rsid w:val="0061605F"/>
    <w:rsid w:val="00616FA1"/>
    <w:rsid w:val="0061728D"/>
    <w:rsid w:val="00620097"/>
    <w:rsid w:val="00620159"/>
    <w:rsid w:val="00622577"/>
    <w:rsid w:val="00622ADD"/>
    <w:rsid w:val="00623A4A"/>
    <w:rsid w:val="00632120"/>
    <w:rsid w:val="006333A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3FEA"/>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2081"/>
    <w:rsid w:val="006E2C86"/>
    <w:rsid w:val="006E3468"/>
    <w:rsid w:val="006E3D3E"/>
    <w:rsid w:val="006E52AB"/>
    <w:rsid w:val="006E5434"/>
    <w:rsid w:val="006E667C"/>
    <w:rsid w:val="006E6BDE"/>
    <w:rsid w:val="006E78B6"/>
    <w:rsid w:val="006F136F"/>
    <w:rsid w:val="006F2D07"/>
    <w:rsid w:val="006F3564"/>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58D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510C"/>
    <w:rsid w:val="007E753E"/>
    <w:rsid w:val="007E79F5"/>
    <w:rsid w:val="007F01B8"/>
    <w:rsid w:val="007F0761"/>
    <w:rsid w:val="007F09AC"/>
    <w:rsid w:val="007F42F0"/>
    <w:rsid w:val="007F47AF"/>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156"/>
    <w:rsid w:val="00850DB7"/>
    <w:rsid w:val="00850EFE"/>
    <w:rsid w:val="008516CB"/>
    <w:rsid w:val="00852451"/>
    <w:rsid w:val="008535B0"/>
    <w:rsid w:val="00853F91"/>
    <w:rsid w:val="0085496A"/>
    <w:rsid w:val="00855AF9"/>
    <w:rsid w:val="00856D96"/>
    <w:rsid w:val="008619DC"/>
    <w:rsid w:val="0086271C"/>
    <w:rsid w:val="00863391"/>
    <w:rsid w:val="00864B8A"/>
    <w:rsid w:val="00866609"/>
    <w:rsid w:val="00866945"/>
    <w:rsid w:val="0087180B"/>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2716"/>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44E"/>
    <w:rsid w:val="009348CB"/>
    <w:rsid w:val="00936535"/>
    <w:rsid w:val="00937114"/>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2311"/>
    <w:rsid w:val="00983738"/>
    <w:rsid w:val="00984BBA"/>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9F70B6"/>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425"/>
    <w:rsid w:val="00A46F80"/>
    <w:rsid w:val="00A47377"/>
    <w:rsid w:val="00A5220A"/>
    <w:rsid w:val="00A5252B"/>
    <w:rsid w:val="00A5278E"/>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486"/>
    <w:rsid w:val="00A83819"/>
    <w:rsid w:val="00A85933"/>
    <w:rsid w:val="00A86AB8"/>
    <w:rsid w:val="00A875A6"/>
    <w:rsid w:val="00A90A5D"/>
    <w:rsid w:val="00A91544"/>
    <w:rsid w:val="00A917AF"/>
    <w:rsid w:val="00A92FE4"/>
    <w:rsid w:val="00A94062"/>
    <w:rsid w:val="00A9434B"/>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14C3"/>
    <w:rsid w:val="00BC21E4"/>
    <w:rsid w:val="00BC2B39"/>
    <w:rsid w:val="00BC3D25"/>
    <w:rsid w:val="00BC6329"/>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A51"/>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2F71"/>
    <w:rsid w:val="00D948B1"/>
    <w:rsid w:val="00D95021"/>
    <w:rsid w:val="00D97582"/>
    <w:rsid w:val="00D97931"/>
    <w:rsid w:val="00D97E06"/>
    <w:rsid w:val="00DA0B3D"/>
    <w:rsid w:val="00DB158C"/>
    <w:rsid w:val="00DB2AFB"/>
    <w:rsid w:val="00DB2E93"/>
    <w:rsid w:val="00DB393F"/>
    <w:rsid w:val="00DB7371"/>
    <w:rsid w:val="00DC0489"/>
    <w:rsid w:val="00DC4795"/>
    <w:rsid w:val="00DC47ED"/>
    <w:rsid w:val="00DC60E7"/>
    <w:rsid w:val="00DC7145"/>
    <w:rsid w:val="00DD0857"/>
    <w:rsid w:val="00DD0E4F"/>
    <w:rsid w:val="00DD12A3"/>
    <w:rsid w:val="00DD2815"/>
    <w:rsid w:val="00DD3587"/>
    <w:rsid w:val="00DD3CE2"/>
    <w:rsid w:val="00DD66BF"/>
    <w:rsid w:val="00DE003C"/>
    <w:rsid w:val="00DE010E"/>
    <w:rsid w:val="00DE113D"/>
    <w:rsid w:val="00DE2B47"/>
    <w:rsid w:val="00DE2D5D"/>
    <w:rsid w:val="00DE3718"/>
    <w:rsid w:val="00DE384B"/>
    <w:rsid w:val="00DE5B15"/>
    <w:rsid w:val="00DE5F73"/>
    <w:rsid w:val="00DF02AF"/>
    <w:rsid w:val="00DF35C7"/>
    <w:rsid w:val="00DF46F0"/>
    <w:rsid w:val="00DF7EC4"/>
    <w:rsid w:val="00E01E68"/>
    <w:rsid w:val="00E022F3"/>
    <w:rsid w:val="00E0306E"/>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1664"/>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1DE"/>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C75BB"/>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3D4F"/>
    <w:rsid w:val="00F04849"/>
    <w:rsid w:val="00F04C08"/>
    <w:rsid w:val="00F050F2"/>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3F81"/>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B81"/>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A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A51"/>
    <w:pPr>
      <w:widowControl/>
      <w:spacing w:before="100" w:beforeAutospacing="1" w:after="100" w:afterAutospacing="1"/>
      <w:jc w:val="left"/>
    </w:pPr>
    <w:rPr>
      <w:rFonts w:ascii="宋体" w:hAnsi="宋体" w:cs="宋体"/>
      <w:kern w:val="0"/>
      <w:sz w:val="24"/>
    </w:rPr>
  </w:style>
  <w:style w:type="paragraph" w:styleId="a4">
    <w:name w:val="footnote text"/>
    <w:basedOn w:val="a"/>
    <w:link w:val="Char"/>
    <w:uiPriority w:val="99"/>
    <w:semiHidden/>
    <w:unhideWhenUsed/>
    <w:rsid w:val="00C82A51"/>
    <w:pPr>
      <w:snapToGrid w:val="0"/>
      <w:jc w:val="left"/>
    </w:pPr>
    <w:rPr>
      <w:sz w:val="18"/>
      <w:szCs w:val="18"/>
    </w:rPr>
  </w:style>
  <w:style w:type="character" w:customStyle="1" w:styleId="Char">
    <w:name w:val="脚注文本 Char"/>
    <w:basedOn w:val="a0"/>
    <w:link w:val="a4"/>
    <w:uiPriority w:val="99"/>
    <w:semiHidden/>
    <w:rsid w:val="00C82A51"/>
    <w:rPr>
      <w:rFonts w:ascii="Times New Roman" w:eastAsia="宋体" w:hAnsi="Times New Roman" w:cs="Times New Roman"/>
      <w:sz w:val="18"/>
      <w:szCs w:val="18"/>
    </w:rPr>
  </w:style>
  <w:style w:type="character" w:customStyle="1" w:styleId="Char0">
    <w:name w:val="列出段落 Char"/>
    <w:link w:val="a5"/>
    <w:uiPriority w:val="34"/>
    <w:locked/>
    <w:rsid w:val="00C82A51"/>
    <w:rPr>
      <w:szCs w:val="24"/>
    </w:rPr>
  </w:style>
  <w:style w:type="paragraph" w:styleId="a5">
    <w:name w:val="List Paragraph"/>
    <w:basedOn w:val="a"/>
    <w:link w:val="Char0"/>
    <w:uiPriority w:val="34"/>
    <w:qFormat/>
    <w:rsid w:val="00C82A51"/>
    <w:pPr>
      <w:ind w:firstLineChars="200" w:firstLine="420"/>
    </w:pPr>
    <w:rPr>
      <w:rFonts w:asciiTheme="minorHAnsi" w:eastAsiaTheme="minorEastAsia" w:hAnsiTheme="minorHAnsi" w:cstheme="minorBidi"/>
    </w:rPr>
  </w:style>
  <w:style w:type="paragraph" w:customStyle="1" w:styleId="a6">
    <w:name w:val="正文仿宋"/>
    <w:basedOn w:val="a"/>
    <w:uiPriority w:val="99"/>
    <w:semiHidden/>
    <w:qFormat/>
    <w:rsid w:val="00C82A51"/>
    <w:pPr>
      <w:widowControl/>
      <w:spacing w:line="276" w:lineRule="auto"/>
      <w:ind w:firstLineChars="201" w:firstLine="643"/>
      <w:jc w:val="left"/>
    </w:pPr>
    <w:rPr>
      <w:rFonts w:ascii="仿宋" w:eastAsia="仿宋" w:hAnsi="仿宋" w:cs="仿宋_GB2312"/>
      <w:color w:val="000000"/>
      <w:kern w:val="0"/>
      <w:sz w:val="32"/>
      <w:szCs w:val="32"/>
      <w:lang w:bidi="en-US"/>
    </w:rPr>
  </w:style>
  <w:style w:type="character" w:styleId="a7">
    <w:name w:val="footnote reference"/>
    <w:basedOn w:val="a0"/>
    <w:semiHidden/>
    <w:unhideWhenUsed/>
    <w:rsid w:val="00C82A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4595</Words>
  <Characters>26195</Characters>
  <Application>Microsoft Office Word</Application>
  <DocSecurity>0</DocSecurity>
  <Lines>218</Lines>
  <Paragraphs>61</Paragraphs>
  <ScaleCrop>false</ScaleCrop>
  <Company/>
  <LinksUpToDate>false</LinksUpToDate>
  <CharactersWithSpaces>30729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2</cp:revision>
  <dcterms:created xsi:type="dcterms:W3CDTF">2022-06-24T01:56:00Z</dcterms:created>
  <dcterms:modified xsi:type="dcterms:W3CDTF">2022-06-24T01:57:00Z</dcterms:modified>
</cp:coreProperties>
</file>