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_Toc6967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_Toc26883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_Toc21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_Toc13165 </w:instrText>
          </w:r>
          <w:r>
            <w:rPr>
              <w:bCs/>
            </w:rPr>
            <w:fldChar w:fldCharType="separate"/>
          </w:r>
          <w:r>
            <w:rPr>
              <w:rFonts w:hint="eastAsia" w:ascii="Times New Roman" w:hAnsi="Times New Roman" w:eastAsia="楷体"/>
              <w:szCs w:val="24"/>
            </w:rPr>
            <w:t>贵金属：澳洲联储维持利率水平不变，沪金小幅反弹</w:t>
          </w:r>
          <w:r>
            <w:rPr>
              <w:bCs/>
            </w:rPr>
            <w:fldChar w:fldCharType="end"/>
          </w:r>
        </w:p>
        <w:p>
          <w:pPr>
            <w:pStyle w:val="59"/>
            <w:tabs>
              <w:tab w:val="right" w:leader="dot" w:pos="8306"/>
            </w:tabs>
          </w:pPr>
          <w:r>
            <w:rPr>
              <w:bCs/>
            </w:rPr>
            <w:fldChar w:fldCharType="begin"/>
          </w:r>
          <w:r>
            <w:rPr>
              <w:bCs/>
            </w:rPr>
            <w:instrText xml:space="preserve"> HYPERLINK \l _Toc490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_Toc9817 </w:instrText>
          </w:r>
          <w:r>
            <w:rPr>
              <w:bCs/>
            </w:rPr>
            <w:fldChar w:fldCharType="separate"/>
          </w:r>
          <w:r>
            <w:rPr>
              <w:rFonts w:hint="eastAsia" w:ascii="楷体" w:hAnsi="楷体" w:eastAsia="楷体"/>
              <w:szCs w:val="24"/>
            </w:rPr>
            <w:t>碳酸锂：智利7月碳酸锂出口量环比下降，期价小幅反弹</w:t>
          </w:r>
          <w:r>
            <w:rPr>
              <w:bCs/>
            </w:rPr>
            <w:fldChar w:fldCharType="end"/>
          </w:r>
        </w:p>
        <w:p>
          <w:pPr>
            <w:pStyle w:val="74"/>
            <w:tabs>
              <w:tab w:val="right" w:leader="dot" w:pos="8306"/>
            </w:tabs>
          </w:pPr>
          <w:r>
            <w:rPr>
              <w:bCs/>
            </w:rPr>
            <w:fldChar w:fldCharType="begin"/>
          </w:r>
          <w:r>
            <w:rPr>
              <w:bCs/>
            </w:rPr>
            <w:instrText xml:space="preserve"> HYPERLINK \l _Toc27915 </w:instrText>
          </w:r>
          <w:r>
            <w:rPr>
              <w:bCs/>
            </w:rPr>
            <w:fldChar w:fldCharType="separate"/>
          </w:r>
          <w:r>
            <w:rPr>
              <w:rFonts w:hint="eastAsia" w:ascii="楷体" w:hAnsi="楷体" w:eastAsia="楷体"/>
              <w:szCs w:val="24"/>
            </w:rPr>
            <w:t>铝：上下有限，低位盘整</w:t>
          </w:r>
          <w:r>
            <w:rPr>
              <w:bCs/>
            </w:rPr>
            <w:fldChar w:fldCharType="end"/>
          </w:r>
        </w:p>
        <w:p>
          <w:pPr>
            <w:pStyle w:val="74"/>
            <w:tabs>
              <w:tab w:val="right" w:leader="dot" w:pos="8306"/>
            </w:tabs>
          </w:pPr>
          <w:r>
            <w:rPr>
              <w:bCs/>
            </w:rPr>
            <w:fldChar w:fldCharType="begin"/>
          </w:r>
          <w:r>
            <w:rPr>
              <w:bCs/>
            </w:rPr>
            <w:instrText xml:space="preserve"> HYPERLINK \l _Toc4581 </w:instrText>
          </w:r>
          <w:r>
            <w:rPr>
              <w:bCs/>
            </w:rPr>
            <w:fldChar w:fldCharType="separate"/>
          </w:r>
          <w:r>
            <w:rPr>
              <w:rFonts w:hint="eastAsia" w:ascii="楷体" w:hAnsi="楷体" w:eastAsia="楷体"/>
              <w:szCs w:val="24"/>
            </w:rPr>
            <w:t>锌：宏观弱势压制锌价</w:t>
          </w:r>
          <w:r>
            <w:rPr>
              <w:bCs/>
            </w:rPr>
            <w:fldChar w:fldCharType="end"/>
          </w:r>
        </w:p>
        <w:p>
          <w:pPr>
            <w:pStyle w:val="74"/>
            <w:tabs>
              <w:tab w:val="right" w:leader="dot" w:pos="8306"/>
            </w:tabs>
          </w:pPr>
          <w:r>
            <w:rPr>
              <w:bCs/>
            </w:rPr>
            <w:fldChar w:fldCharType="begin"/>
          </w:r>
          <w:r>
            <w:rPr>
              <w:bCs/>
            </w:rPr>
            <w:instrText xml:space="preserve"> HYPERLINK \l _Toc14779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：偏弱运行</w:t>
          </w:r>
          <w:r>
            <w:rPr>
              <w:bCs/>
            </w:rPr>
            <w:fldChar w:fldCharType="end"/>
          </w:r>
        </w:p>
        <w:p>
          <w:pPr>
            <w:pStyle w:val="74"/>
            <w:tabs>
              <w:tab w:val="right" w:leader="dot" w:pos="8306"/>
            </w:tabs>
          </w:pPr>
          <w:r>
            <w:rPr>
              <w:bCs/>
            </w:rPr>
            <w:fldChar w:fldCharType="begin"/>
          </w:r>
          <w:r>
            <w:rPr>
              <w:bCs/>
            </w:rPr>
            <w:instrText xml:space="preserve"> HYPERLINK \l _Toc15228 </w:instrText>
          </w:r>
          <w:r>
            <w:rPr>
              <w:bCs/>
            </w:rPr>
            <w:fldChar w:fldCharType="separate"/>
          </w:r>
          <w:r>
            <w:rPr>
              <w:rFonts w:hint="eastAsia" w:ascii="楷体" w:hAnsi="楷体" w:eastAsia="楷体"/>
              <w:szCs w:val="24"/>
            </w:rPr>
            <w:t>镍：衰退预期再起，施压镍价</w:t>
          </w:r>
          <w:r>
            <w:rPr>
              <w:bCs/>
            </w:rPr>
            <w:fldChar w:fldCharType="end"/>
          </w:r>
        </w:p>
        <w:p>
          <w:pPr>
            <w:pStyle w:val="74"/>
            <w:tabs>
              <w:tab w:val="right" w:leader="dot" w:pos="8306"/>
            </w:tabs>
          </w:pPr>
          <w:r>
            <w:rPr>
              <w:bCs/>
            </w:rPr>
            <w:fldChar w:fldCharType="begin"/>
          </w:r>
          <w:r>
            <w:rPr>
              <w:bCs/>
            </w:rPr>
            <w:instrText xml:space="preserve"> HYPERLINK \l _Toc21790 </w:instrText>
          </w:r>
          <w:r>
            <w:rPr>
              <w:bCs/>
            </w:rPr>
            <w:fldChar w:fldCharType="separate"/>
          </w:r>
          <w:r>
            <w:rPr>
              <w:rFonts w:hint="eastAsia" w:ascii="楷体" w:hAnsi="楷体" w:eastAsia="楷体"/>
              <w:szCs w:val="24"/>
            </w:rPr>
            <w:t>不锈钢：原料支撑显现，但供需压力制约上行空间</w:t>
          </w:r>
          <w:r>
            <w:rPr>
              <w:bCs/>
            </w:rPr>
            <w:fldChar w:fldCharType="end"/>
          </w:r>
        </w:p>
        <w:p>
          <w:pPr>
            <w:pStyle w:val="74"/>
            <w:tabs>
              <w:tab w:val="right" w:leader="dot" w:pos="8306"/>
            </w:tabs>
          </w:pPr>
          <w:r>
            <w:rPr>
              <w:bCs/>
            </w:rPr>
            <w:fldChar w:fldCharType="begin"/>
          </w:r>
          <w:r>
            <w:rPr>
              <w:bCs/>
            </w:rPr>
            <w:instrText xml:space="preserve"> HYPERLINK \l _Toc19314 </w:instrText>
          </w:r>
          <w:r>
            <w:rPr>
              <w:bCs/>
            </w:rPr>
            <w:fldChar w:fldCharType="separate"/>
          </w:r>
          <w:r>
            <w:rPr>
              <w:rFonts w:hint="eastAsia" w:ascii="楷体" w:hAnsi="楷体" w:eastAsia="楷体"/>
              <w:szCs w:val="24"/>
            </w:rPr>
            <w:t>工业硅：硅料价格小幅上调，但维持减产状态</w:t>
          </w:r>
          <w:r>
            <w:rPr>
              <w:bCs/>
            </w:rPr>
            <w:fldChar w:fldCharType="end"/>
          </w:r>
        </w:p>
        <w:p>
          <w:pPr>
            <w:pStyle w:val="59"/>
            <w:tabs>
              <w:tab w:val="right" w:leader="dot" w:pos="8306"/>
            </w:tabs>
          </w:pPr>
          <w:r>
            <w:rPr>
              <w:bCs/>
            </w:rPr>
            <w:fldChar w:fldCharType="begin"/>
          </w:r>
          <w:r>
            <w:rPr>
              <w:bCs/>
            </w:rPr>
            <w:instrText xml:space="preserve"> HYPERLINK \l _Toc32503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_Toc16469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成本端企稳 胶价下方空间有限</w:t>
          </w:r>
          <w:r>
            <w:rPr>
              <w:bCs/>
            </w:rPr>
            <w:fldChar w:fldCharType="end"/>
          </w:r>
        </w:p>
        <w:p>
          <w:pPr>
            <w:pStyle w:val="74"/>
            <w:tabs>
              <w:tab w:val="right" w:leader="dot" w:pos="8306"/>
            </w:tabs>
          </w:pPr>
          <w:r>
            <w:rPr>
              <w:bCs/>
            </w:rPr>
            <w:fldChar w:fldCharType="begin"/>
          </w:r>
          <w:r>
            <w:rPr>
              <w:bCs/>
            </w:rPr>
            <w:instrText xml:space="preserve"> HYPERLINK \l _Toc18981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_Toc24040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实际利润过低下行空间不大，或保持弱震荡</w:t>
          </w:r>
          <w:r>
            <w:rPr>
              <w:bCs/>
            </w:rPr>
            <w:fldChar w:fldCharType="end"/>
          </w:r>
        </w:p>
        <w:p>
          <w:pPr>
            <w:pStyle w:val="74"/>
            <w:tabs>
              <w:tab w:val="right" w:leader="dot" w:pos="8306"/>
            </w:tabs>
          </w:pPr>
          <w:r>
            <w:rPr>
              <w:bCs/>
            </w:rPr>
            <w:fldChar w:fldCharType="begin"/>
          </w:r>
          <w:r>
            <w:rPr>
              <w:bCs/>
            </w:rPr>
            <w:instrText xml:space="preserve"> HYPERLINK \l _Toc32313 </w:instrText>
          </w:r>
          <w:r>
            <w:rPr>
              <w:bCs/>
            </w:rPr>
            <w:fldChar w:fldCharType="separate"/>
          </w:r>
          <w:r>
            <w:rPr>
              <w:rFonts w:hint="eastAsia" w:ascii="Times New Roman" w:hAnsi="Times New Roman" w:eastAsia="楷体"/>
              <w:szCs w:val="24"/>
            </w:rPr>
            <w:t>纯碱：超跌反弹后供需并未改善，重回下行区间</w:t>
          </w:r>
          <w:r>
            <w:rPr>
              <w:bCs/>
            </w:rPr>
            <w:fldChar w:fldCharType="end"/>
          </w:r>
        </w:p>
        <w:p>
          <w:pPr>
            <w:pStyle w:val="74"/>
            <w:tabs>
              <w:tab w:val="right" w:leader="dot" w:pos="8306"/>
            </w:tabs>
          </w:pPr>
          <w:r>
            <w:rPr>
              <w:bCs/>
            </w:rPr>
            <w:fldChar w:fldCharType="begin"/>
          </w:r>
          <w:r>
            <w:rPr>
              <w:bCs/>
            </w:rPr>
            <w:instrText xml:space="preserve"> HYPERLINK \l _Toc31977 </w:instrText>
          </w:r>
          <w:r>
            <w:rPr>
              <w:bCs/>
            </w:rPr>
            <w:fldChar w:fldCharType="separate"/>
          </w:r>
          <w:r>
            <w:rPr>
              <w:rFonts w:hint="eastAsia" w:ascii="Times New Roman" w:hAnsi="Times New Roman" w:eastAsia="楷体"/>
              <w:szCs w:val="24"/>
            </w:rPr>
            <w:t>PTA：跟随成本期价震荡偏强</w:t>
          </w:r>
          <w:r>
            <w:rPr>
              <w:bCs/>
            </w:rPr>
            <w:fldChar w:fldCharType="end"/>
          </w:r>
        </w:p>
        <w:p>
          <w:pPr>
            <w:pStyle w:val="74"/>
            <w:tabs>
              <w:tab w:val="right" w:leader="dot" w:pos="8306"/>
            </w:tabs>
          </w:pPr>
          <w:r>
            <w:rPr>
              <w:bCs/>
            </w:rPr>
            <w:fldChar w:fldCharType="begin"/>
          </w:r>
          <w:r>
            <w:rPr>
              <w:bCs/>
            </w:rPr>
            <w:instrText xml:space="preserve"> HYPERLINK \l _Toc19106 </w:instrText>
          </w:r>
          <w:r>
            <w:rPr>
              <w:bCs/>
            </w:rPr>
            <w:fldChar w:fldCharType="separate"/>
          </w:r>
          <w:r>
            <w:rPr>
              <w:rFonts w:hint="eastAsia" w:ascii="Times New Roman" w:hAnsi="Times New Roman" w:eastAsia="楷体"/>
              <w:szCs w:val="24"/>
            </w:rPr>
            <w:t>乙二醇：供需去库 期价震荡偏强</w:t>
          </w:r>
          <w:r>
            <w:rPr>
              <w:bCs/>
            </w:rPr>
            <w:fldChar w:fldCharType="end"/>
          </w:r>
        </w:p>
        <w:p>
          <w:pPr>
            <w:pStyle w:val="59"/>
            <w:tabs>
              <w:tab w:val="right" w:leader="dot" w:pos="8306"/>
            </w:tabs>
          </w:pPr>
          <w:r>
            <w:rPr>
              <w:bCs/>
            </w:rPr>
            <w:fldChar w:fldCharType="begin"/>
          </w:r>
          <w:r>
            <w:rPr>
              <w:bCs/>
            </w:rPr>
            <w:instrText xml:space="preserve"> HYPERLINK \l _Toc2573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_Toc57 </w:instrText>
          </w:r>
          <w:r>
            <w:rPr>
              <w:bCs/>
            </w:rPr>
            <w:fldChar w:fldCharType="separate"/>
          </w:r>
          <w:r>
            <w:rPr>
              <w:rFonts w:hint="eastAsia" w:ascii="楷体" w:hAnsi="楷体" w:eastAsia="楷体"/>
              <w:bCs/>
            </w:rPr>
            <w:t>玉米与淀粉：</w:t>
          </w:r>
          <w:r>
            <w:rPr>
              <w:rFonts w:hint="eastAsia" w:ascii="楷体" w:hAnsi="楷体" w:eastAsia="楷体"/>
            </w:rPr>
            <w:t>期现货延续跌势</w:t>
          </w:r>
          <w:r>
            <w:rPr>
              <w:bCs/>
            </w:rPr>
            <w:fldChar w:fldCharType="end"/>
          </w:r>
        </w:p>
        <w:p>
          <w:pPr>
            <w:pStyle w:val="74"/>
            <w:tabs>
              <w:tab w:val="right" w:leader="dot" w:pos="8306"/>
            </w:tabs>
          </w:pPr>
          <w:r>
            <w:rPr>
              <w:bCs/>
            </w:rPr>
            <w:fldChar w:fldCharType="begin"/>
          </w:r>
          <w:r>
            <w:rPr>
              <w:bCs/>
            </w:rPr>
            <w:instrText xml:space="preserve"> HYPERLINK \l _Toc13786 </w:instrText>
          </w:r>
          <w:r>
            <w:rPr>
              <w:bCs/>
            </w:rPr>
            <w:fldChar w:fldCharType="separate"/>
          </w:r>
          <w:r>
            <w:rPr>
              <w:rFonts w:hint="eastAsia" w:ascii="楷体" w:hAnsi="楷体" w:eastAsia="楷体"/>
              <w:bCs/>
            </w:rPr>
            <w:t>畜禽养殖：生猪现货止涨回落</w:t>
          </w:r>
          <w:r>
            <w:rPr>
              <w:bCs/>
            </w:rPr>
            <w:fldChar w:fldCharType="end"/>
          </w:r>
        </w:p>
        <w:p>
          <w:pPr>
            <w:pStyle w:val="74"/>
            <w:tabs>
              <w:tab w:val="right" w:leader="dot" w:pos="8306"/>
            </w:tabs>
          </w:pPr>
          <w:r>
            <w:rPr>
              <w:bCs/>
            </w:rPr>
            <w:fldChar w:fldCharType="begin"/>
          </w:r>
          <w:r>
            <w:rPr>
              <w:bCs/>
            </w:rPr>
            <w:instrText xml:space="preserve"> HYPERLINK \l _Toc27705 </w:instrText>
          </w:r>
          <w:r>
            <w:rPr>
              <w:bCs/>
            </w:rPr>
            <w:fldChar w:fldCharType="separate"/>
          </w:r>
          <w:r>
            <w:rPr>
              <w:rFonts w:hint="eastAsia" w:ascii="楷体" w:hAnsi="楷体" w:eastAsia="楷体"/>
              <w:bCs/>
            </w:rPr>
            <w:t>白糖：区间波段式震荡整理，高抛空单择机止盈</w:t>
          </w:r>
          <w:r>
            <w:rPr>
              <w:bCs/>
            </w:rPr>
            <w:fldChar w:fldCharType="end"/>
          </w:r>
        </w:p>
        <w:p>
          <w:pPr>
            <w:pStyle w:val="74"/>
            <w:tabs>
              <w:tab w:val="right" w:leader="dot" w:pos="8306"/>
            </w:tabs>
          </w:pPr>
          <w:r>
            <w:rPr>
              <w:bCs/>
            </w:rPr>
            <w:fldChar w:fldCharType="begin"/>
          </w:r>
          <w:r>
            <w:rPr>
              <w:bCs/>
            </w:rPr>
            <w:instrText xml:space="preserve"> HYPERLINK \l _Toc9283 </w:instrText>
          </w:r>
          <w:r>
            <w:rPr>
              <w:bCs/>
            </w:rPr>
            <w:fldChar w:fldCharType="separate"/>
          </w:r>
          <w:r>
            <w:rPr>
              <w:rFonts w:hint="eastAsia" w:ascii="楷体" w:hAnsi="楷体" w:eastAsia="楷体"/>
              <w:bCs/>
            </w:rPr>
            <w:t>棉花：预计郑棉震荡偏弱</w:t>
          </w:r>
          <w:r>
            <w:rPr>
              <w:bCs/>
            </w:rPr>
            <w:fldChar w:fldCharType="end"/>
          </w:r>
        </w:p>
        <w:p>
          <w:pPr>
            <w:pStyle w:val="74"/>
            <w:tabs>
              <w:tab w:val="right" w:leader="dot" w:pos="8306"/>
            </w:tabs>
          </w:pPr>
          <w:r>
            <w:rPr>
              <w:bCs/>
            </w:rPr>
            <w:fldChar w:fldCharType="begin"/>
          </w:r>
          <w:r>
            <w:rPr>
              <w:bCs/>
            </w:rPr>
            <w:instrText xml:space="preserve"> HYPERLINK \l _Toc2021 </w:instrText>
          </w:r>
          <w:r>
            <w:rPr>
              <w:bCs/>
            </w:rPr>
            <w:fldChar w:fldCharType="separate"/>
          </w:r>
          <w:r>
            <w:rPr>
              <w:rFonts w:hint="eastAsia" w:ascii="楷体" w:hAnsi="楷体" w:eastAsia="楷体"/>
              <w:bCs/>
            </w:rPr>
            <w:t>蛋白粕：需求不佳，粕类再度下挫</w:t>
          </w:r>
          <w:r>
            <w:rPr>
              <w:bCs/>
            </w:rPr>
            <w:fldChar w:fldCharType="end"/>
          </w:r>
        </w:p>
        <w:p>
          <w:pPr>
            <w:pStyle w:val="74"/>
            <w:tabs>
              <w:tab w:val="right" w:leader="dot" w:pos="8306"/>
            </w:tabs>
          </w:pPr>
          <w:r>
            <w:rPr>
              <w:bCs/>
            </w:rPr>
            <w:fldChar w:fldCharType="begin"/>
          </w:r>
          <w:r>
            <w:rPr>
              <w:bCs/>
            </w:rPr>
            <w:instrText xml:space="preserve"> HYPERLINK \l _Toc8753 </w:instrText>
          </w:r>
          <w:r>
            <w:rPr>
              <w:bCs/>
            </w:rPr>
            <w:fldChar w:fldCharType="separate"/>
          </w:r>
          <w:r>
            <w:rPr>
              <w:rFonts w:hint="eastAsia" w:ascii="楷体" w:hAnsi="楷体" w:eastAsia="楷体"/>
              <w:bCs/>
            </w:rPr>
            <w:t>油脂类：整体偏弱，马棕油领跌</w:t>
          </w:r>
          <w:r>
            <w:rPr>
              <w:bCs/>
            </w:rPr>
            <w:fldChar w:fldCharType="end"/>
          </w:r>
        </w:p>
        <w:p>
          <w:pPr>
            <w:pStyle w:val="59"/>
            <w:tabs>
              <w:tab w:val="right" w:leader="dot" w:pos="8306"/>
            </w:tabs>
          </w:pPr>
          <w:r>
            <w:rPr>
              <w:bCs/>
            </w:rPr>
            <w:fldChar w:fldCharType="begin"/>
          </w:r>
          <w:r>
            <w:rPr>
              <w:bCs/>
            </w:rPr>
            <w:instrText xml:space="preserve"> HYPERLINK \l _Toc2663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_Toc22631 </w:instrText>
          </w:r>
          <w:r>
            <w:rPr>
              <w:bCs/>
            </w:rPr>
            <w:fldChar w:fldCharType="separate"/>
          </w:r>
          <w:r>
            <w:rPr>
              <w:rFonts w:hint="eastAsia" w:ascii="Times New Roman" w:hAnsi="Times New Roman" w:eastAsia="楷体"/>
              <w:szCs w:val="24"/>
            </w:rPr>
            <w:t>集运指数（欧线）：现货指数回落现较弱情绪，期价震荡下行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96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688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日经大幅反弹带动亚太股市回暖，A股缩量小幅反弹，上证指数收盘涨0.23%报2867.28点，盘中再创阶段新低；市场成交额不足6600亿元，北向资金净卖出62.51亿元。目前，A股买盘仍比较单一，核心仍在于内部信心的修复，当前基本面预期仍锚定在2024年的阶段，市场向上弹性有限，预计三季度总体将保持弱势震荡格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3165"/>
      <w:r>
        <w:rPr>
          <w:rFonts w:hint="eastAsia" w:ascii="Times New Roman" w:hAnsi="Times New Roman" w:eastAsia="楷体"/>
          <w:b/>
          <w:color w:val="000000" w:themeColor="text1"/>
          <w:sz w:val="24"/>
          <w:szCs w:val="24"/>
          <w14:textFill>
            <w14:solidFill>
              <w14:schemeClr w14:val="tx1"/>
            </w14:solidFill>
          </w14:textFill>
        </w:rPr>
        <w:t>贵金属：澳洲联储维持利率水平不变，沪金小幅反弹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0.46%至555.42元/克，沪银跌0.01%至6985元/千克。上周五美国就业数据全面降温，海外衰退预期强化，对于美国经济“硬着陆”的担忧一度引发恐慌性的资产抛售及资本回流。继周一大跌后，周二日经225超跌反弹，美元兑日元汇率向上突破145。美国7月ISM非制造业指数51.4，好于预期的51，服务业经济景气度好于预期，贵金属价格跌幅收窄。美国7月标普全球服务业PMI终值55，预期56，初值56。美联储戴利表示，对在即将召开的9月会议上降息持开放态度；美联储将采取一切必要措施，以确保实现双重目标。澳洲联储连续第六次将基准利率维持在4.35%不变，并重申在政策上不排除任何可能性。人民币汇率周内调升，汇率影响下内盘贵金属价格略微承压。未来留意美联储是否作出提前降息的相关操作或表态，短线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49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81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碳酸锂：智利7月碳酸锂出口量环比下降，期价小幅反弹</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企稳，期价小幅反弹，11合约收涨0.12%至81250元/吨。碳酸锂周度开工率及产量略微下行。智利7月出口碳酸锂20173吨，其中向我国出口碳酸锂15731吨，较上月减少9.6%，对应8月及9月国内碳酸锂进口或有所减量。锂价低位期间，下游询价积极性增强。期价下方面临8万元/吨整数关口支撑，近期或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791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上下有限，低位盘整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西方主流经济体经济数据疲弱，国内PMI数据回落至收缩区间，全球经济衰退逻辑确认，联储对9月降息态度偏鸽，降息落地以前市场宏观情绪保持低迷，对有色价格形成压制。铝土矿供应紧张价格高位，氧化铝现货报价坚挺，电解铝上游传导出电解铝成本仍有支撑的信号，中游冶炼开产高位，目前国内需求仍在淡季，加工企业市场反馈下半年订单减少较多，金九银十旺季效应待证伪，国内交易所+社会库存铝锭库存累积，铝棒顺畅去库，海外库存保持去库节奏。宏观情绪依旧偏弱，基本面供应高位，库存累积，需求淡季改善有限，出现价格反弹但动力相对有限，短期铝价弱势盘整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4581"/>
      <w:r>
        <w:rPr>
          <w:rFonts w:hint="eastAsia" w:ascii="楷体" w:hAnsi="楷体" w:eastAsia="楷体"/>
          <w:b/>
          <w:color w:val="000000" w:themeColor="text1"/>
          <w:sz w:val="24"/>
          <w:szCs w:val="24"/>
          <w14:textFill>
            <w14:solidFill>
              <w14:schemeClr w14:val="tx1"/>
            </w14:solidFill>
          </w14:textFill>
        </w:rPr>
        <w:t>锌：宏观弱势压制锌价</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交易逻辑仍未结束，9月份美联储大概率降息，降息前市场情绪预计偏弱。锌矿TC费率持续低迷，冶炼厂负值利润传导，部分地区检修增加，下游企业淡季加工开工率暂无明显提升，临近旺季消费有边际修复预期，实际旺季是否能够到来仍待证伪，现货市场流通货源偏紧， 库存高位去化，宏观压力带领锌价破均线支撑再度下行，短期内锌价弱势盘整，关注下方底部形成。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477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：偏弱运行</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中国物流与采购联合会公布7月份全球制造业PMI为48.9%，较上月下降0.6个百分点，降幅较上月扩大0.3个百分点。结束今年上半年持续在49%以上的运行走势，意味着全球经济复苏动力继续趋弱，并且下行压力有所增加。</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(2)库存：8月6日，SHFE仓单库存195719吨，减2228吨；LME仓单库存252575吨，增1225吨。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(3)精废价差：8月6日，Mysteel精废价差1733，扩张37。目前价差在合理价差1414之上。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综述：7月全球制造业PMI数据继续走弱，短期价格驱动仍来自于宏观层面的衰退交易预期。基本面， LME库存继续明显累增，整体精炼铜供应仍偏宽松，现货维持贴水状态，短期铜价反弹动力仍有限，偏弱运行为主，关注7万一线支撑。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5228"/>
      <w:r>
        <w:rPr>
          <w:rFonts w:hint="eastAsia" w:ascii="楷体" w:hAnsi="楷体" w:eastAsia="楷体"/>
          <w:b/>
          <w:color w:val="000000" w:themeColor="text1"/>
          <w:sz w:val="24"/>
          <w:szCs w:val="24"/>
          <w14:textFill>
            <w14:solidFill>
              <w14:schemeClr w14:val="tx1"/>
            </w14:solidFill>
          </w14:textFill>
        </w:rPr>
        <w:t>镍：衰退预期再起，施压镍价</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中美制造业数据走弱，美国就业数据放缓，宏观向经济衰退预期定价，施压有色板块。镍矿方面，印尼及菲律宾雨季恶劣天气使镍矿供应继续受阻，目前镍矿价格仍然坚挺。硫酸镍方面，维持供需双弱情况，成本支撑下硫酸镍价格弱稳为主。据Mytseel数据，高冰镍一体化生产精炼镍工艺的生产成本为128003元/吨。供需方面，随着内外价差收窄，国内电积镍现货增加，国内社库转向累库，此前去库对镍价的支撑减弱。综合而言，镍基本面延续过剩及经济衰退预期对镍价形成压力，不过考虑到镍矿现货供应仍偏紧，镍价从高冰镍一体化成本支撑线继续深跌动能或有限，短期镍价或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1790"/>
      <w:r>
        <w:rPr>
          <w:rFonts w:hint="eastAsia" w:ascii="楷体" w:hAnsi="楷体" w:eastAsia="楷体"/>
          <w:b/>
          <w:color w:val="000000" w:themeColor="text1"/>
          <w:sz w:val="24"/>
          <w:szCs w:val="24"/>
          <w14:textFill>
            <w14:solidFill>
              <w14:schemeClr w14:val="tx1"/>
            </w14:solidFill>
          </w14:textFill>
        </w:rPr>
        <w:t>不锈钢：原料支撑显现，但供需压力制约上行空间</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及菲律宾雨季恶劣天气使镍矿供应继续受阻，印尼1.6%品味镍矿CIF价格逼近50美元/湿吨，印尼部分镍矿内贸升水高达HPM基本价+25美元/湿吨，为不锈钢产业链提供成本支撑。镍铁方面，受镍矿影响，国内镍铁供应偏紧，而下游不锈钢厂排产高位，最新高镍铁成交价格多位于1000-1010元/镍。供需方面，不锈钢厂对消费旺季抱以期待，8月不锈钢粗钢排产提升至332.56万吨，月环比增加3.8%，同比增加2.2%，观察后续高产量能否被旺季需求所消化。综合而言，原料端支撑不锈钢价格，但供需压力持续制约价格上方空间，宏观衰退交易也带来利空影响，短期不锈钢主力价格或在13600-14500区间震荡为主，持续关注镍铁价格变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931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硅料价格小幅上调，但维持减产状态</w:t>
      </w:r>
      <w:bookmarkEnd w:id="25"/>
    </w:p>
    <w:p>
      <w:pPr>
        <w:ind w:left="630" w:leftChars="300"/>
        <w:rPr>
          <w:rFonts w:ascii="楷体" w:hAnsi="楷体" w:eastAsia="楷体"/>
          <w:sz w:val="24"/>
          <w:szCs w:val="24"/>
        </w:rPr>
      </w:pPr>
      <w:r>
        <w:rPr>
          <w:rFonts w:hint="eastAsia" w:ascii="楷体" w:hAnsi="楷体" w:eastAsia="楷体"/>
          <w:sz w:val="24"/>
          <w:szCs w:val="24"/>
        </w:rPr>
        <w:t>8月6日，Si2409主力合约呈下行走势，收盘价10225元/吨，较上一收盘价涨跌幅-1.73%。从基本面来看，近期高成本工厂有所减产，供应边际有所下降，但主产区开工整体依旧维持高位。周内核心需求硅料市场价格小幅上调，市场情绪有所好转，但生产依旧维持减产状态，对工业硅实际需求量并无增加。整体来看，目前暂无明显单边驱动因素，短期盘面或震荡运行，参考区间（10000，10600）。策略上，维持波段操作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250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646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成本端企稳 胶价下方空间有限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然橡胶主力合约震荡反弹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8981"/>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24040"/>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实际利润过低下行空间不大，或保持弱震荡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昨夜盘主力合约2409下探，收于1349元/吨。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现货方面，现货方面，浮法玻璃华北玻璃大板维持低位至1390元/吨、河北沙河大板现货降至1300元/吨，稳步下行。库存方面，玻璃在产企业总库存为6909万重量箱，环比上周上升199.88万重量箱。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32313"/>
      <w:r>
        <w:rPr>
          <w:rFonts w:hint="eastAsia" w:ascii="Times New Roman" w:hAnsi="Times New Roman" w:eastAsia="楷体"/>
          <w:b/>
          <w:color w:val="000000" w:themeColor="text1"/>
          <w:sz w:val="24"/>
          <w:szCs w:val="24"/>
          <w14:textFill>
            <w14:solidFill>
              <w14:schemeClr w14:val="tx1"/>
            </w14:solidFill>
          </w14:textFill>
        </w:rPr>
        <w:t>纯碱：超跌反弹后供需并未改善，重回下行区间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昨夜盘纯碱主力合约弱震荡收盘于1790元/吨。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本周纯碱行业开工约90.07%，环比上升2%。在需求端，玻璃行业等主要下游市场的需求呈现疲软态势。特别是轻碱市场需求明显下滑，出货难度增加。另外楼市尚未出现明显回暖，各线城市房价仍处于环比下降。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31977"/>
      <w:r>
        <w:rPr>
          <w:rFonts w:hint="eastAsia" w:ascii="Times New Roman" w:hAnsi="Times New Roman" w:eastAsia="楷体"/>
          <w:b/>
          <w:color w:val="000000" w:themeColor="text1"/>
          <w:sz w:val="24"/>
          <w:szCs w:val="24"/>
          <w14:textFill>
            <w14:solidFill>
              <w14:schemeClr w14:val="tx1"/>
            </w14:solidFill>
          </w14:textFill>
        </w:rPr>
        <w:t>PTA：跟随成本期价震荡偏强</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随着PX集中检修结束，85%的高位开工下现货供应宽松走势承压。本周PTA装置基本上没变动，至周四PTA负荷维持在79.7%（+1.3%）。本周一套聚酯装置例行检修，另一套检修开启，此外短纤装置近期减产有所增多。截至本周四，初步核算国内大陆地区聚酯负荷在85.7%（-0.6%）附近，聚酯负荷小幅回落。综合来看，装置检修回归且后期PTA检修计划偏少，阶段性下游订单不足，涤丝工厂库存压力较大，高温天气下游开工恢复缓慢，供需偏累库。但终端需求韧性尚可，短线跟随成本期价震荡偏强。</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9106"/>
      <w:r>
        <w:rPr>
          <w:rFonts w:hint="eastAsia" w:ascii="Times New Roman" w:hAnsi="Times New Roman" w:eastAsia="楷体"/>
          <w:b/>
          <w:color w:val="000000" w:themeColor="text1"/>
          <w:sz w:val="24"/>
          <w:szCs w:val="24"/>
          <w14:textFill>
            <w14:solidFill>
              <w14:schemeClr w14:val="tx1"/>
            </w14:solidFill>
          </w14:textFill>
        </w:rPr>
        <w:t>乙二醇：供需去库 期价震荡偏强</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本周华东主港地区MEG港口库存约59.3万吨附近，环比上期下降4.2万吨。近期乙二醇主港到货依旧偏少，显性库存持续去化。截至8月1日，中国大陆地区乙二醇整体开工负荷在63.35%（-1.0%），其中草酸催化加氢法（合成气）制乙二醇开工负荷在60.27%（-7.9%）。截至8月1日，国内大陆地区聚酯负荷在85.7%（-0.6%）附近，聚酯负荷开工小幅下滑。终端来看，江浙终端开工低位维持，截止8.1江浙下游加弹、织造、印染负荷分别在78%（+2%）、64%（-1%）、69%(-1%)。综合来看，兖矿、沃能检修落实，广汇推迟重启、美锦降负乙二醇开工率将明显下降。预估三季度到港偏少维持供需偏紧格局，短期期价震荡偏强，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573"/>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5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期现货延续跌势</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当前期价结构呈现V型结构，即旧作合约逐步贴水，但新作合约转向升水，其反映市场两个方面的预期，其一是市场对新作供需预期偏乐观，应该更多源于需求特别饲用需求恢复/改善的预期；其二是市场对新作上市压力预期较为强烈，这源于旧作产需缺口迟迟未能体现，市场主体特别是囤粮贸易商新作上市之前需要库存去化，在新作上市之初大概率缺乏补库动力。在这种情况下，接下来重点关注市场降库存背景之下会否出现新旧作供应衔接的问题。综上所述，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中，行业供需继续趋于偏空，因行业库存持续累积；原料成本存在变数，因华北与东北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3786"/>
      <w:r>
        <w:rPr>
          <w:rFonts w:hint="eastAsia" w:ascii="楷体" w:hAnsi="楷体" w:eastAsia="楷体"/>
          <w:b/>
          <w:bCs/>
          <w:color w:val="000000" w:themeColor="text1"/>
          <w14:textFill>
            <w14:solidFill>
              <w14:schemeClr w14:val="tx1"/>
            </w14:solidFill>
          </w14:textFill>
        </w:rPr>
        <w:t>畜禽养殖：生猪现货止涨回落</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27705"/>
      <w:r>
        <w:rPr>
          <w:rFonts w:hint="eastAsia" w:ascii="楷体" w:hAnsi="楷体" w:eastAsia="楷体"/>
          <w:b/>
          <w:bCs/>
          <w:color w:val="000000" w:themeColor="text1"/>
          <w14:textFill>
            <w14:solidFill>
              <w14:schemeClr w14:val="tx1"/>
            </w14:solidFill>
          </w14:textFill>
        </w:rPr>
        <w:t>白糖：区间波段式震荡整理，高抛空单择机止盈</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1%和1.5%。巴西7月白糖产量虽受到天气影响同比减少，但因结转库存高，7月出口量维持高位。据外电8月6日消息，巴西政府周二公布的月度商品出口数据显示，巴西7月糖出口量为3,782,338吨，2023年同期为2,944,173吨。国内夜盘，白糖09主力合约跌0.82%。在传统旺季的刚需驱使下，终端采购积极性增强，去库存进程加快，库存压力减轻，期价存在一定支撑，但新季存在丰产预期，且近期市场情绪偏空，预计整体区间震荡偏弱。</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9283"/>
      <w:r>
        <w:rPr>
          <w:rFonts w:hint="eastAsia" w:ascii="楷体" w:hAnsi="楷体" w:eastAsia="楷体"/>
          <w:b/>
          <w:bCs/>
          <w:color w:val="000000" w:themeColor="text1"/>
          <w14:textFill>
            <w14:solidFill>
              <w14:schemeClr w14:val="tx1"/>
            </w14:solidFill>
          </w14:textFill>
        </w:rPr>
        <w:t>棉花：预计郑棉震荡偏弱</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市场担忧衰退，金融市场普遍暴跌。尽管美棉优良率周环比下降，但隔日夜盘ICE美棉主力依然下跌0.50%。美国农业部（ USDA ）在每周作物生长报告中公布称，截至2024年8月4日当周，美国棉花优良率为45%，前一周为49%，上年同期为41%。国内夜盘，郑棉2309主力合约上涨0.11%。滑准税配额的数量虽不及预期，但宏观因素影响力增加，市场当前主要交易衰退逻辑，下游“旺季不旺”预期也占据上风。预计郑棉低位震荡或继续走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2021"/>
      <w:r>
        <w:rPr>
          <w:rFonts w:hint="eastAsia" w:ascii="楷体" w:hAnsi="楷体" w:eastAsia="楷体"/>
          <w:b/>
          <w:bCs/>
          <w:color w:val="000000" w:themeColor="text1"/>
          <w14:textFill>
            <w14:solidFill>
              <w14:schemeClr w14:val="tx1"/>
            </w14:solidFill>
          </w14:textFill>
        </w:rPr>
        <w:t>蛋白粕：需求不佳，粕类再度下挫</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大豆上涨1.28%，国内夜盘豆二下跌0.83%，豆粕下跌1.20%；菜籽上涨0.25%，菜粕下跌2.22%。美元走软使得美国出口更具吸引力，USDA公布数据，截至2024年8月1日当周，美国大豆出口检验量为261203吨，处于预估区间中下水平。昨日国内夜盘豆二主力合约下跌0.83%，豆粕下跌1.20%；菜籽反弹0.25%，菜粕下跌2.22%。目前国内油厂油料供应充足，开机率都维持高位，进而豆粕、菜粕供应充足，粕类价格有一定压力。且短期来看，压力不容易缓解，现货疲软将继续对盘面产生牵制，预计短期粕类近月压力仍然明显。但美豆上涨可能对今日盘面有提振作用，建议暂时观望。</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8753"/>
      <w:r>
        <w:rPr>
          <w:rFonts w:hint="eastAsia" w:ascii="楷体" w:hAnsi="楷体" w:eastAsia="楷体"/>
          <w:b/>
          <w:bCs/>
          <w:color w:val="000000" w:themeColor="text1"/>
          <w14:textFill>
            <w14:solidFill>
              <w14:schemeClr w14:val="tx1"/>
            </w14:solidFill>
          </w14:textFill>
        </w:rPr>
        <w:t>油脂类：整体偏弱，马棕油领跌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0.82%，菜油下跌0.42%，棕榈油下跌1.22%。受宏观层面偏弱影响，市场情绪导致商品整体偏弱，纷纷下跌。但马棕油基本面偏紧，整体而言较为抗跌，尤其是印度需求极其旺盛，7月进口量环比激增39%，有支撑盘面作用。昨日大幅下跌后，可留意低多机会。</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2663"/>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22631"/>
      <w:r>
        <w:rPr>
          <w:rFonts w:hint="eastAsia" w:ascii="Times New Roman" w:hAnsi="Times New Roman" w:eastAsia="楷体"/>
          <w:b/>
          <w:color w:val="000000" w:themeColor="text1"/>
          <w:sz w:val="24"/>
          <w:szCs w:val="24"/>
          <w14:textFill>
            <w14:solidFill>
              <w14:schemeClr w14:val="tx1"/>
            </w14:solidFill>
          </w14:textFill>
        </w:rPr>
        <w:t>集运指数（欧线）：现货指数回落现较弱情绪，期价震荡下行</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7月29日，SCFIS欧线指数为6225.65点与上期相比跌1.5%。8月2日，SCFI上海港出口至欧洲基本港市场运价（海运及海运附加费）为4907美元/TEU，较上期下跌1.7%。地中海航线，市场行情与欧洲航线保持同步，市场运价继续走低。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供给端：2024年上半年集装箱船队运力供给变化如下：累计交付264艘新船，合计运力163.5万TEU；拆解老船36艘，合计51000TEU。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据欧盟统计局公布的数据显示，7月欧元区经济景气指数为95.8，较上月环比小幅下跌0.1，其中服务业的景气指数降幅较大。目前，欧洲企业对近几个月的商业经营状况更加悲观，加之制造业订单继续表现疲软，未来欧洲经济的复苏前景并不乐观。</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情绪上来看，地缘性消息经常性扰动远月盘面，近期，中东地区的紧张局势又有所升温，未来亚欧航线仍将面临众多风险事件的考验。留意短期风险，建议投资者谨慎操作。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2481108"/>
      <w:bookmarkStart w:id="44" w:name="_Toc71212556"/>
      <w:bookmarkStart w:id="45" w:name="_Toc19667"/>
      <w:bookmarkStart w:id="46" w:name="_Toc98426751"/>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2024年8月7日星期三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2024-08-07T02:48:12Z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