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8" w:name="_GoBack"/>
          <w:bookmarkEnd w:id="48"/>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_Toc17490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_Toc15878 </w:instrText>
          </w:r>
          <w:r>
            <w:rPr>
              <w:bCs/>
            </w:rPr>
            <w:fldChar w:fldCharType="separate"/>
          </w:r>
          <w:r>
            <w:rPr>
              <w:rFonts w:hint="eastAsia" w:ascii="Times New Roman" w:hAnsi="Times New Roman" w:eastAsia="楷体"/>
              <w:szCs w:val="24"/>
            </w:rPr>
            <w:t>股指：维持弱市震荡观点</w:t>
          </w:r>
          <w:r>
            <w:rPr>
              <w:bCs/>
            </w:rPr>
            <w:fldChar w:fldCharType="end"/>
          </w:r>
        </w:p>
        <w:p>
          <w:pPr>
            <w:pStyle w:val="59"/>
            <w:tabs>
              <w:tab w:val="right" w:leader="dot" w:pos="8306"/>
            </w:tabs>
          </w:pPr>
          <w:r>
            <w:rPr>
              <w:bCs/>
            </w:rPr>
            <w:fldChar w:fldCharType="begin"/>
          </w:r>
          <w:r>
            <w:rPr>
              <w:bCs/>
            </w:rPr>
            <w:instrText xml:space="preserve"> HYPERLINK \l _Toc526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_Toc21628 </w:instrText>
          </w:r>
          <w:r>
            <w:rPr>
              <w:bCs/>
            </w:rPr>
            <w:fldChar w:fldCharType="separate"/>
          </w:r>
          <w:r>
            <w:rPr>
              <w:rFonts w:hint="eastAsia" w:ascii="Times New Roman" w:hAnsi="Times New Roman" w:eastAsia="楷体"/>
              <w:szCs w:val="24"/>
            </w:rPr>
            <w:t>贵金属：央行黄金储备连续3个月保持不变，贵金属价格上涨</w:t>
          </w:r>
          <w:r>
            <w:rPr>
              <w:bCs/>
            </w:rPr>
            <w:fldChar w:fldCharType="end"/>
          </w:r>
        </w:p>
        <w:p>
          <w:pPr>
            <w:pStyle w:val="59"/>
            <w:tabs>
              <w:tab w:val="right" w:leader="dot" w:pos="8306"/>
            </w:tabs>
          </w:pPr>
          <w:r>
            <w:rPr>
              <w:bCs/>
            </w:rPr>
            <w:fldChar w:fldCharType="begin"/>
          </w:r>
          <w:r>
            <w:rPr>
              <w:bCs/>
            </w:rPr>
            <w:instrText xml:space="preserve"> HYPERLINK \l _Toc11218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_Toc31580 </w:instrText>
          </w:r>
          <w:r>
            <w:rPr>
              <w:bCs/>
            </w:rPr>
            <w:fldChar w:fldCharType="separate"/>
          </w:r>
          <w:r>
            <w:rPr>
              <w:rFonts w:hint="eastAsia" w:ascii="楷体" w:hAnsi="楷体" w:eastAsia="楷体"/>
              <w:szCs w:val="24"/>
            </w:rPr>
            <w:t>碳酸锂：电动汽车电池装车量同比增长，期价进一步下跌</w:t>
          </w:r>
          <w:r>
            <w:rPr>
              <w:bCs/>
            </w:rPr>
            <w:fldChar w:fldCharType="end"/>
          </w:r>
        </w:p>
        <w:p>
          <w:pPr>
            <w:pStyle w:val="74"/>
            <w:tabs>
              <w:tab w:val="right" w:leader="dot" w:pos="8306"/>
            </w:tabs>
          </w:pPr>
          <w:r>
            <w:rPr>
              <w:bCs/>
            </w:rPr>
            <w:fldChar w:fldCharType="begin"/>
          </w:r>
          <w:r>
            <w:rPr>
              <w:bCs/>
            </w:rPr>
            <w:instrText xml:space="preserve"> HYPERLINK \l _Toc1996 </w:instrText>
          </w:r>
          <w:r>
            <w:rPr>
              <w:bCs/>
            </w:rPr>
            <w:fldChar w:fldCharType="separate"/>
          </w:r>
          <w:r>
            <w:rPr>
              <w:rFonts w:hint="eastAsia" w:ascii="楷体" w:hAnsi="楷体" w:eastAsia="楷体"/>
              <w:szCs w:val="24"/>
            </w:rPr>
            <w:t>铝：铝价低位盘整</w:t>
          </w:r>
          <w:r>
            <w:rPr>
              <w:bCs/>
            </w:rPr>
            <w:fldChar w:fldCharType="end"/>
          </w:r>
        </w:p>
        <w:p>
          <w:pPr>
            <w:pStyle w:val="74"/>
            <w:tabs>
              <w:tab w:val="right" w:leader="dot" w:pos="8306"/>
            </w:tabs>
          </w:pPr>
          <w:r>
            <w:rPr>
              <w:bCs/>
            </w:rPr>
            <w:fldChar w:fldCharType="begin"/>
          </w:r>
          <w:r>
            <w:rPr>
              <w:bCs/>
            </w:rPr>
            <w:instrText xml:space="preserve"> HYPERLINK \l _Toc15936 </w:instrText>
          </w:r>
          <w:r>
            <w:rPr>
              <w:bCs/>
            </w:rPr>
            <w:fldChar w:fldCharType="separate"/>
          </w:r>
          <w:r>
            <w:rPr>
              <w:rFonts w:hint="eastAsia" w:ascii="楷体" w:hAnsi="楷体" w:eastAsia="楷体"/>
              <w:szCs w:val="24"/>
            </w:rPr>
            <w:t>锌：锌价反弹高度仍待观察</w:t>
          </w:r>
          <w:r>
            <w:rPr>
              <w:bCs/>
            </w:rPr>
            <w:fldChar w:fldCharType="end"/>
          </w:r>
        </w:p>
        <w:p>
          <w:pPr>
            <w:pStyle w:val="74"/>
            <w:tabs>
              <w:tab w:val="right" w:leader="dot" w:pos="8306"/>
            </w:tabs>
          </w:pPr>
          <w:r>
            <w:rPr>
              <w:bCs/>
            </w:rPr>
            <w:fldChar w:fldCharType="begin"/>
          </w:r>
          <w:r>
            <w:rPr>
              <w:bCs/>
            </w:rPr>
            <w:instrText xml:space="preserve"> HYPERLINK \l _Toc24775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：反弹力度或受限</w:t>
          </w:r>
          <w:r>
            <w:rPr>
              <w:bCs/>
            </w:rPr>
            <w:fldChar w:fldCharType="end"/>
          </w:r>
        </w:p>
        <w:p>
          <w:pPr>
            <w:pStyle w:val="74"/>
            <w:tabs>
              <w:tab w:val="right" w:leader="dot" w:pos="8306"/>
            </w:tabs>
          </w:pPr>
          <w:r>
            <w:rPr>
              <w:bCs/>
            </w:rPr>
            <w:fldChar w:fldCharType="begin"/>
          </w:r>
          <w:r>
            <w:rPr>
              <w:bCs/>
            </w:rPr>
            <w:instrText xml:space="preserve"> HYPERLINK \l _Toc23548 </w:instrText>
          </w:r>
          <w:r>
            <w:rPr>
              <w:bCs/>
            </w:rPr>
            <w:fldChar w:fldCharType="separate"/>
          </w:r>
          <w:r>
            <w:rPr>
              <w:rFonts w:hint="eastAsia" w:ascii="楷体" w:hAnsi="楷体" w:eastAsia="楷体"/>
              <w:szCs w:val="24"/>
            </w:rPr>
            <w:t>镍：跟随宏观震荡，高冰镍一体化成本提供支撑</w:t>
          </w:r>
          <w:r>
            <w:rPr>
              <w:bCs/>
            </w:rPr>
            <w:fldChar w:fldCharType="end"/>
          </w:r>
        </w:p>
        <w:p>
          <w:pPr>
            <w:pStyle w:val="74"/>
            <w:tabs>
              <w:tab w:val="right" w:leader="dot" w:pos="8306"/>
            </w:tabs>
          </w:pPr>
          <w:r>
            <w:rPr>
              <w:bCs/>
            </w:rPr>
            <w:fldChar w:fldCharType="begin"/>
          </w:r>
          <w:r>
            <w:rPr>
              <w:bCs/>
            </w:rPr>
            <w:instrText xml:space="preserve"> HYPERLINK \l _Toc25776 </w:instrText>
          </w:r>
          <w:r>
            <w:rPr>
              <w:bCs/>
            </w:rPr>
            <w:fldChar w:fldCharType="separate"/>
          </w:r>
          <w:r>
            <w:rPr>
              <w:rFonts w:hint="eastAsia" w:ascii="楷体" w:hAnsi="楷体" w:eastAsia="楷体"/>
              <w:szCs w:val="24"/>
            </w:rPr>
            <w:t>不锈钢：镍矿及镍铁供需偏紧，继续下行空间有限</w:t>
          </w:r>
          <w:r>
            <w:rPr>
              <w:bCs/>
            </w:rPr>
            <w:fldChar w:fldCharType="end"/>
          </w:r>
        </w:p>
        <w:p>
          <w:pPr>
            <w:pStyle w:val="74"/>
            <w:tabs>
              <w:tab w:val="right" w:leader="dot" w:pos="8306"/>
            </w:tabs>
          </w:pPr>
          <w:r>
            <w:rPr>
              <w:bCs/>
            </w:rPr>
            <w:fldChar w:fldCharType="begin"/>
          </w:r>
          <w:r>
            <w:rPr>
              <w:bCs/>
            </w:rPr>
            <w:instrText xml:space="preserve"> HYPERLINK \l _Toc13189 </w:instrText>
          </w:r>
          <w:r>
            <w:rPr>
              <w:bCs/>
            </w:rPr>
            <w:fldChar w:fldCharType="separate"/>
          </w:r>
          <w:r>
            <w:rPr>
              <w:rFonts w:hint="eastAsia" w:ascii="楷体" w:hAnsi="楷体" w:eastAsia="楷体"/>
              <w:szCs w:val="24"/>
            </w:rPr>
            <w:t>工业硅：市场情绪转弱，盘面承压下行</w:t>
          </w:r>
          <w:r>
            <w:rPr>
              <w:bCs/>
            </w:rPr>
            <w:fldChar w:fldCharType="end"/>
          </w:r>
        </w:p>
        <w:p>
          <w:pPr>
            <w:pStyle w:val="59"/>
            <w:tabs>
              <w:tab w:val="right" w:leader="dot" w:pos="8306"/>
            </w:tabs>
          </w:pPr>
          <w:r>
            <w:rPr>
              <w:bCs/>
            </w:rPr>
            <w:fldChar w:fldCharType="begin"/>
          </w:r>
          <w:r>
            <w:rPr>
              <w:bCs/>
            </w:rPr>
            <w:instrText xml:space="preserve"> HYPERLINK \l _Toc17511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_Toc12562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成本支撑牢固 天胶或偏强运行</w:t>
          </w:r>
          <w:r>
            <w:rPr>
              <w:bCs/>
            </w:rPr>
            <w:fldChar w:fldCharType="end"/>
          </w:r>
        </w:p>
        <w:p>
          <w:pPr>
            <w:pStyle w:val="74"/>
            <w:tabs>
              <w:tab w:val="right" w:leader="dot" w:pos="8306"/>
            </w:tabs>
          </w:pPr>
          <w:r>
            <w:rPr>
              <w:bCs/>
            </w:rPr>
            <w:fldChar w:fldCharType="begin"/>
          </w:r>
          <w:r>
            <w:rPr>
              <w:bCs/>
            </w:rPr>
            <w:instrText xml:space="preserve"> HYPERLINK \l _Toc1737 </w:instrText>
          </w:r>
          <w:r>
            <w:rPr>
              <w:bCs/>
            </w:rPr>
            <w:fldChar w:fldCharType="separate"/>
          </w:r>
          <w:r>
            <w:rPr>
              <w:rFonts w:hint="eastAsia" w:ascii="Times New Roman" w:hAnsi="Times New Roman" w:eastAsia="楷体"/>
              <w:szCs w:val="24"/>
            </w:rPr>
            <w:t>聚烯烃：需求进入淡季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_Toc1390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现货疲弱累库继续，期价弱势震荡</w:t>
          </w:r>
          <w:r>
            <w:rPr>
              <w:bCs/>
            </w:rPr>
            <w:fldChar w:fldCharType="end"/>
          </w:r>
        </w:p>
        <w:p>
          <w:pPr>
            <w:pStyle w:val="74"/>
            <w:tabs>
              <w:tab w:val="right" w:leader="dot" w:pos="8306"/>
            </w:tabs>
          </w:pPr>
          <w:r>
            <w:rPr>
              <w:bCs/>
            </w:rPr>
            <w:fldChar w:fldCharType="begin"/>
          </w:r>
          <w:r>
            <w:rPr>
              <w:bCs/>
            </w:rPr>
            <w:instrText xml:space="preserve"> HYPERLINK \l _Toc20823 </w:instrText>
          </w:r>
          <w:r>
            <w:rPr>
              <w:bCs/>
            </w:rPr>
            <w:fldChar w:fldCharType="separate"/>
          </w:r>
          <w:r>
            <w:rPr>
              <w:rFonts w:hint="eastAsia" w:ascii="Times New Roman" w:hAnsi="Times New Roman" w:eastAsia="楷体"/>
              <w:szCs w:val="24"/>
            </w:rPr>
            <w:t>纯碱：期价走弱供需并未出现改善迹象</w:t>
          </w:r>
          <w:r>
            <w:rPr>
              <w:bCs/>
            </w:rPr>
            <w:fldChar w:fldCharType="end"/>
          </w:r>
        </w:p>
        <w:p>
          <w:pPr>
            <w:pStyle w:val="74"/>
            <w:tabs>
              <w:tab w:val="right" w:leader="dot" w:pos="8306"/>
            </w:tabs>
          </w:pPr>
          <w:r>
            <w:rPr>
              <w:bCs/>
            </w:rPr>
            <w:fldChar w:fldCharType="begin"/>
          </w:r>
          <w:r>
            <w:rPr>
              <w:bCs/>
            </w:rPr>
            <w:instrText xml:space="preserve"> HYPERLINK \l _Toc132 </w:instrText>
          </w:r>
          <w:r>
            <w:rPr>
              <w:bCs/>
            </w:rPr>
            <w:fldChar w:fldCharType="separate"/>
          </w:r>
          <w:r>
            <w:rPr>
              <w:rFonts w:hint="eastAsia" w:ascii="Times New Roman" w:hAnsi="Times New Roman" w:eastAsia="楷体"/>
              <w:szCs w:val="24"/>
            </w:rPr>
            <w:t>PTA：成本弱势及供需疲软共振 PTA承压下行</w:t>
          </w:r>
          <w:r>
            <w:rPr>
              <w:bCs/>
            </w:rPr>
            <w:fldChar w:fldCharType="end"/>
          </w:r>
        </w:p>
        <w:p>
          <w:pPr>
            <w:pStyle w:val="74"/>
            <w:tabs>
              <w:tab w:val="right" w:leader="dot" w:pos="8306"/>
            </w:tabs>
          </w:pPr>
          <w:r>
            <w:rPr>
              <w:bCs/>
            </w:rPr>
            <w:fldChar w:fldCharType="begin"/>
          </w:r>
          <w:r>
            <w:rPr>
              <w:bCs/>
            </w:rPr>
            <w:instrText xml:space="preserve"> HYPERLINK \l _Toc15090 </w:instrText>
          </w:r>
          <w:r>
            <w:rPr>
              <w:bCs/>
            </w:rPr>
            <w:fldChar w:fldCharType="separate"/>
          </w:r>
          <w:r>
            <w:rPr>
              <w:rFonts w:hint="eastAsia" w:ascii="Times New Roman" w:hAnsi="Times New Roman" w:eastAsia="楷体"/>
              <w:szCs w:val="24"/>
            </w:rPr>
            <w:t>乙二醇：终端负反馈 期价弱势探底</w:t>
          </w:r>
          <w:r>
            <w:rPr>
              <w:bCs/>
            </w:rPr>
            <w:fldChar w:fldCharType="end"/>
          </w:r>
        </w:p>
        <w:p>
          <w:pPr>
            <w:pStyle w:val="59"/>
            <w:tabs>
              <w:tab w:val="right" w:leader="dot" w:pos="8306"/>
            </w:tabs>
          </w:pPr>
          <w:r>
            <w:rPr>
              <w:bCs/>
            </w:rPr>
            <w:fldChar w:fldCharType="begin"/>
          </w:r>
          <w:r>
            <w:rPr>
              <w:bCs/>
            </w:rPr>
            <w:instrText xml:space="preserve"> HYPERLINK \l _Toc29109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_Toc8569 </w:instrText>
          </w:r>
          <w:r>
            <w:rPr>
              <w:bCs/>
            </w:rPr>
            <w:fldChar w:fldCharType="separate"/>
          </w:r>
          <w:r>
            <w:rPr>
              <w:rFonts w:hint="eastAsia" w:ascii="楷体" w:hAnsi="楷体" w:eastAsia="楷体"/>
              <w:bCs/>
            </w:rPr>
            <w:t>玉米与淀粉：</w:t>
          </w:r>
          <w:r>
            <w:rPr>
              <w:rFonts w:hint="eastAsia" w:ascii="楷体" w:hAnsi="楷体" w:eastAsia="楷体"/>
            </w:rPr>
            <w:t>期价反弹后等待现货止跌企稳</w:t>
          </w:r>
          <w:r>
            <w:rPr>
              <w:bCs/>
            </w:rPr>
            <w:fldChar w:fldCharType="end"/>
          </w:r>
        </w:p>
        <w:p>
          <w:pPr>
            <w:pStyle w:val="74"/>
            <w:tabs>
              <w:tab w:val="right" w:leader="dot" w:pos="8306"/>
            </w:tabs>
          </w:pPr>
          <w:r>
            <w:rPr>
              <w:bCs/>
            </w:rPr>
            <w:fldChar w:fldCharType="begin"/>
          </w:r>
          <w:r>
            <w:rPr>
              <w:bCs/>
            </w:rPr>
            <w:instrText xml:space="preserve"> HYPERLINK \l _Toc17272 </w:instrText>
          </w:r>
          <w:r>
            <w:rPr>
              <w:bCs/>
            </w:rPr>
            <w:fldChar w:fldCharType="separate"/>
          </w:r>
          <w:r>
            <w:rPr>
              <w:rFonts w:hint="eastAsia" w:ascii="楷体" w:hAnsi="楷体" w:eastAsia="楷体"/>
              <w:bCs/>
            </w:rPr>
            <w:t>畜禽养殖：期价弱势震荡</w:t>
          </w:r>
          <w:r>
            <w:rPr>
              <w:bCs/>
            </w:rPr>
            <w:fldChar w:fldCharType="end"/>
          </w:r>
        </w:p>
        <w:p>
          <w:pPr>
            <w:pStyle w:val="74"/>
            <w:tabs>
              <w:tab w:val="right" w:leader="dot" w:pos="8306"/>
            </w:tabs>
          </w:pPr>
          <w:r>
            <w:rPr>
              <w:bCs/>
            </w:rPr>
            <w:fldChar w:fldCharType="begin"/>
          </w:r>
          <w:r>
            <w:rPr>
              <w:bCs/>
            </w:rPr>
            <w:instrText xml:space="preserve"> HYPERLINK \l _Toc331 </w:instrText>
          </w:r>
          <w:r>
            <w:rPr>
              <w:bCs/>
            </w:rPr>
            <w:fldChar w:fldCharType="separate"/>
          </w:r>
          <w:r>
            <w:rPr>
              <w:rFonts w:hint="eastAsia" w:ascii="楷体" w:hAnsi="楷体" w:eastAsia="楷体"/>
              <w:bCs/>
            </w:rPr>
            <w:t>白糖：区间波段式震荡整理</w:t>
          </w:r>
          <w:r>
            <w:rPr>
              <w:bCs/>
            </w:rPr>
            <w:fldChar w:fldCharType="end"/>
          </w:r>
        </w:p>
        <w:p>
          <w:pPr>
            <w:pStyle w:val="74"/>
            <w:tabs>
              <w:tab w:val="right" w:leader="dot" w:pos="8306"/>
            </w:tabs>
          </w:pPr>
          <w:r>
            <w:rPr>
              <w:bCs/>
            </w:rPr>
            <w:fldChar w:fldCharType="begin"/>
          </w:r>
          <w:r>
            <w:rPr>
              <w:bCs/>
            </w:rPr>
            <w:instrText xml:space="preserve"> HYPERLINK \l _Toc30029 </w:instrText>
          </w:r>
          <w:r>
            <w:rPr>
              <w:bCs/>
            </w:rPr>
            <w:fldChar w:fldCharType="separate"/>
          </w:r>
          <w:r>
            <w:rPr>
              <w:rFonts w:hint="eastAsia" w:ascii="楷体" w:hAnsi="楷体" w:eastAsia="楷体"/>
              <w:bCs/>
            </w:rPr>
            <w:t>棉花：预计郑棉震荡偏弱</w:t>
          </w:r>
          <w:r>
            <w:rPr>
              <w:bCs/>
            </w:rPr>
            <w:fldChar w:fldCharType="end"/>
          </w:r>
        </w:p>
        <w:p>
          <w:pPr>
            <w:pStyle w:val="74"/>
            <w:tabs>
              <w:tab w:val="right" w:leader="dot" w:pos="8306"/>
            </w:tabs>
          </w:pPr>
          <w:r>
            <w:rPr>
              <w:bCs/>
            </w:rPr>
            <w:fldChar w:fldCharType="begin"/>
          </w:r>
          <w:r>
            <w:rPr>
              <w:bCs/>
            </w:rPr>
            <w:instrText xml:space="preserve"> HYPERLINK \l _Toc1541 </w:instrText>
          </w:r>
          <w:r>
            <w:rPr>
              <w:bCs/>
            </w:rPr>
            <w:fldChar w:fldCharType="separate"/>
          </w:r>
          <w:r>
            <w:rPr>
              <w:rFonts w:hint="eastAsia" w:ascii="楷体" w:hAnsi="楷体" w:eastAsia="楷体"/>
              <w:bCs/>
            </w:rPr>
            <w:t>蛋白粕：需求不佳，粕类再度下挫</w:t>
          </w:r>
          <w:r>
            <w:rPr>
              <w:bCs/>
            </w:rPr>
            <w:fldChar w:fldCharType="end"/>
          </w:r>
        </w:p>
        <w:p>
          <w:pPr>
            <w:pStyle w:val="74"/>
            <w:tabs>
              <w:tab w:val="right" w:leader="dot" w:pos="8306"/>
            </w:tabs>
          </w:pPr>
          <w:r>
            <w:rPr>
              <w:bCs/>
            </w:rPr>
            <w:fldChar w:fldCharType="begin"/>
          </w:r>
          <w:r>
            <w:rPr>
              <w:bCs/>
            </w:rPr>
            <w:instrText xml:space="preserve"> HYPERLINK \l _Toc28182 </w:instrText>
          </w:r>
          <w:r>
            <w:rPr>
              <w:bCs/>
            </w:rPr>
            <w:fldChar w:fldCharType="separate"/>
          </w:r>
          <w:r>
            <w:rPr>
              <w:rFonts w:hint="eastAsia" w:ascii="楷体" w:hAnsi="楷体" w:eastAsia="楷体"/>
              <w:bCs/>
            </w:rPr>
            <w:t>油脂类：整体偏弱，马棕油领跌</w:t>
          </w:r>
          <w:r>
            <w:rPr>
              <w:bCs/>
            </w:rPr>
            <w:fldChar w:fldCharType="end"/>
          </w:r>
        </w:p>
        <w:p>
          <w:pPr>
            <w:pStyle w:val="59"/>
            <w:tabs>
              <w:tab w:val="right" w:leader="dot" w:pos="8306"/>
            </w:tabs>
          </w:pPr>
          <w:r>
            <w:rPr>
              <w:bCs/>
            </w:rPr>
            <w:fldChar w:fldCharType="begin"/>
          </w:r>
          <w:r>
            <w:rPr>
              <w:bCs/>
            </w:rPr>
            <w:instrText xml:space="preserve"> HYPERLINK \l _Toc1514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_Toc12870 </w:instrText>
          </w:r>
          <w:r>
            <w:rPr>
              <w:bCs/>
            </w:rPr>
            <w:fldChar w:fldCharType="separate"/>
          </w:r>
          <w:r>
            <w:rPr>
              <w:rFonts w:hint="eastAsia" w:ascii="Times New Roman" w:hAnsi="Times New Roman" w:eastAsia="楷体"/>
              <w:szCs w:val="24"/>
            </w:rPr>
            <w:t>集运指数（欧线）：进入淡贵叠加宏观承压，期市悲观情绪显现</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1749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587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维持弱市震荡观点</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日经大幅反弹带动亚太股市回暖，A股缩量小幅反弹，上证指数收盘涨0.23%报2867.28点，盘中再创阶段新低；市场成交额不足6600亿元，北向资金净卖出62.51亿元。目前，A股买盘仍比较单一，核心仍在于内部信心的修复，当前基本面预期仍锚定在2024年的阶段，市场向上弹性有限，预计三季度总体将保持弱势震荡格局。</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526"/>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1628"/>
      <w:r>
        <w:rPr>
          <w:rFonts w:hint="eastAsia" w:ascii="Times New Roman" w:hAnsi="Times New Roman" w:eastAsia="楷体"/>
          <w:b/>
          <w:color w:val="000000" w:themeColor="text1"/>
          <w:sz w:val="24"/>
          <w:szCs w:val="24"/>
          <w14:textFill>
            <w14:solidFill>
              <w14:schemeClr w14:val="tx1"/>
            </w14:solidFill>
          </w14:textFill>
        </w:rPr>
        <w:t>贵金属：央行黄金储备连续3个月保持不变，贵金属价格上涨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1.21%至562.44元/克，沪银涨2.32%至7109元/千克。美国最新当周初请失业金人数下降1.7万至23.3万人，续请失业救济人数上升至187.5万人。当前海外市场预期，美联储或迫于经济衰退风险在9月启动降息，甚至可能出现超预期的货币宽松操作。截至8月8日，CME FedWatch模型由外盘联邦利率期货价格反推的降息概率显示，美联储2024年9月降息25bp几率为25.5%，降息50bp几率升至74.5%。我国央行7月末黄金储备为7280万盎司，连续3个月保持不变。央行持有黄金主要出于优化官方储备资产结构、提高资产稳定性考虑，近期央行暂停增储黄金或令市场投机情绪有所降温。短线谨慎观望美联储动向，当前距离美联储降息或更近一步，若后续美国经济数据进一步走弱，降息落地或支撑贵金属价格进一步上行。另外，制造业PMI持续走弱、就业降温等指向美国经济走弱，在经济衰退期间，贵金属价格表现亦相对强势，中长线持续留意多头逢低布局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1121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31580"/>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碳酸锂：电动汽车电池装车量同比增长，期价进一步下跌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期价进一步下跌，11合约跌2.67%至78500元/吨。SNE Research数据显示，2024年上半年全球电动汽车电池装车量约为364.6GWh，同比增22.3%。宁德时代占比37.8%排名维持第一，装车量137.7GWh，同比增29.5%；比亚迪占比15.8%排名第二，装车量57.5GWh，同比增22%。据SMM数据，7月国内三元前驱体产量约63380吨，环比增8%，同比减18%；1-7月份国内三元前驱累计产量470010吨，年累计同比增幅7%。8月及9月国内碳酸锂进口或有所减量，正极材料需求或小幅增长。下游排产有所回暖，带动刚需补库需求，上游维持挺价情绪，散单成交较少。期价向下突破8万元/吨附近整数关口及成本支撑，近期或维持偏弱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1996"/>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铝价低位盘整</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全球经济衰退情绪仍在交易，基本面来看，矿端紧张+氧化铝现货报价坚挺，成本端仍有支撑，电解铝冶炼开产高位供应宽松，需求仍受传统消费淡季影响，下游加工开工率疲软，临近金九银十旺季效应仍待证伪，铸锭库存高位去库不畅，铝棒顺畅去库，铝价前期下跌幅度较大，万九下方再下跌空间有限，短期低位盘整运行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15936"/>
      <w:r>
        <w:rPr>
          <w:rFonts w:hint="eastAsia" w:ascii="楷体" w:hAnsi="楷体" w:eastAsia="楷体"/>
          <w:b/>
          <w:color w:val="000000" w:themeColor="text1"/>
          <w:sz w:val="24"/>
          <w:szCs w:val="24"/>
          <w14:textFill>
            <w14:solidFill>
              <w14:schemeClr w14:val="tx1"/>
            </w14:solidFill>
          </w14:textFill>
        </w:rPr>
        <w:t>锌：锌价反弹高度仍待观察</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全球经济衰退交易逻辑仍未结束，9月份美联储大概率降息，降息落地前宏观情绪持续扰动。锌矿TC费率持续低迷，冶炼厂负值利润传导，部分地区检修增加，下游企业淡季加工开工率暂无明显提升，临近旺季消费有边际修复预期，实际旺季是否能够到来仍待证伪，现货市场流通货源偏紧， 库存高位去化，锌价低位反弹但反弹高度仍待观察，关注下方底部形成。</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4775"/>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：反弹力度或受限</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(1)宏观：8月8日周四，美国劳工部公布的数据显示，美国8月3日当周首次申请失业救济人数23.3万人，低于预期24万人，低于前值24.9万人。</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(2)库存：8月8日，SHFE仓单库存191050吨，减1448吨；LME仓单库存294425吨，减325吨。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(3)精废价差：8月8日，Mysteel精废价差1428，收窄285。目前价差在合理价差1407之上。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上周首次申请失业救济人数超预期回落至23.3万人，缓解了市场对美国经济衰退的担忧，摩根大通将今年美国经济衰退概率从25%上调至35%，高盛上周末已将预测从15%上调至25%，但认为经济衰退可以避免。全球经济尤其是美国的不确定性仍将影响风险偏好，预计铜价反弹力度或受限。</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3548"/>
      <w:r>
        <w:rPr>
          <w:rFonts w:hint="eastAsia" w:ascii="楷体" w:hAnsi="楷体" w:eastAsia="楷体"/>
          <w:b/>
          <w:color w:val="000000" w:themeColor="text1"/>
          <w:sz w:val="24"/>
          <w:szCs w:val="24"/>
          <w14:textFill>
            <w14:solidFill>
              <w14:schemeClr w14:val="tx1"/>
            </w14:solidFill>
          </w14:textFill>
        </w:rPr>
        <w:t>镍：跟随宏观震荡，高冰镍一体化成本提供支撑</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市场情绪较周初的恐慌浓意有所缓和，但经济衰退交易仍未结束。镍矿方面，印尼及菲律宾雨季恶劣天气使镍矿供应继续受阻，目前镍矿价格仍然坚挺。硫酸镍方面，维持供需双弱情况，成本支撑下硫酸镍价格弱稳为主。据Mytseel数据，高冰镍一体化生产精炼镍工艺的生产成本为128003元/吨，7月我国精炼镍产量环比增加9.6%，预计8月产量环比增加0.45%。供需方面，随着内外价差收窄，国内电积镍现货增加，国内社库转向累库，此前去库对镍价的支撑减弱。综合而言，镍基本面延续过剩及经济衰退预期对镍价形成压力，不过考虑到镍矿现货供应仍偏紧，镍价从高冰镍一体化成本支撑线继续深跌动能或有限，短期镍价震荡整理为主。</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5776"/>
      <w:r>
        <w:rPr>
          <w:rFonts w:hint="eastAsia" w:ascii="楷体" w:hAnsi="楷体" w:eastAsia="楷体"/>
          <w:b/>
          <w:color w:val="000000" w:themeColor="text1"/>
          <w:sz w:val="24"/>
          <w:szCs w:val="24"/>
          <w14:textFill>
            <w14:solidFill>
              <w14:schemeClr w14:val="tx1"/>
            </w14:solidFill>
          </w14:textFill>
        </w:rPr>
        <w:t>不锈钢：镍矿及镍铁供需偏紧，继续下行空间有限</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及菲律宾雨季恶劣天气使镍矿供应继续受阻，印尼镍矿升水居高不下。镍铁方面，镍铁供应偏紧，因而价格坚挺，近日华东某大型一体化炼钢不锈钢厂高镍铁采购价1025元/镍（到厂含税），为印尼铁，成交数千吨。供需方面，据钢联最新调研，8月不锈钢粗钢排产提升至338.67万吨，月环比增加2.37%，同比增加4%，库存则转为累库，本周全国不锈钢89仓库口径社会库存1089956吨，周环比增2.3%。综合而言，不锈钢仍然延续高成本弱需求格局，期价下方受到镍矿偏紧、镍铁价格上调的成本支撑，而上方也受到需求疲软的压制，加之宏观衰退担忧尚未结束，价格上下空间皆有限，警惕镍铁价格下跌带来利空风险。</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3189"/>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市场情绪转弱，盘面承压下行</w:t>
      </w:r>
      <w:bookmarkEnd w:id="25"/>
    </w:p>
    <w:p>
      <w:pPr>
        <w:ind w:left="630" w:leftChars="300"/>
        <w:rPr>
          <w:rFonts w:ascii="楷体" w:hAnsi="楷体" w:eastAsia="楷体"/>
          <w:sz w:val="24"/>
          <w:szCs w:val="24"/>
        </w:rPr>
      </w:pPr>
      <w:r>
        <w:rPr>
          <w:rFonts w:hint="eastAsia" w:ascii="楷体" w:hAnsi="楷体" w:eastAsia="楷体"/>
          <w:sz w:val="24"/>
          <w:szCs w:val="24"/>
        </w:rPr>
        <w:t>8月8日，Si2409主力合约延续下行走势，收盘价9885元/吨，较上一收盘价涨跌幅-3.04%，再破上市以来新低。从基本面来看，主产区开工整体维持相对高位，工厂暂未出现明显减产操作，而需求端持续疲软，仍未见改善迹象，使得行业库存持续累积。整体而言，基本面宽松格局暂难改善，使得盘面反弹压力仍存，但盘面估值已处于相对低位，短期谨慎追空。策略上，建议谨慎资金暂时观望为主，前期若有空单可阶段性逐步止盈。</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7511"/>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2562"/>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成本支撑牢固 天胶或偏强运行</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近期天胶主力合约偏强震荡。目前看，产区季节性上量预期仍存，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7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1737"/>
      <w:r>
        <w:rPr>
          <w:rFonts w:hint="eastAsia" w:ascii="Times New Roman" w:hAnsi="Times New Roman" w:eastAsia="楷体"/>
          <w:b/>
          <w:color w:val="000000" w:themeColor="text1"/>
          <w:sz w:val="24"/>
          <w:szCs w:val="24"/>
          <w14:textFill>
            <w14:solidFill>
              <w14:schemeClr w14:val="tx1"/>
            </w14:solidFill>
          </w14:textFill>
        </w:rPr>
        <w:t>聚烯烃：需求进入淡季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1390"/>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现货疲弱累库继续，期价弱势震荡</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昨夜盘主力合约2409下探，收于1320元/吨。</w:t>
      </w:r>
    </w:p>
    <w:p>
      <w:pPr>
        <w:ind w:left="630" w:leftChars="300"/>
        <w:rPr>
          <w:rFonts w:hint="eastAsia" w:ascii="楷体" w:hAnsi="楷体" w:eastAsia="楷体"/>
          <w:sz w:val="24"/>
          <w:szCs w:val="24"/>
        </w:rPr>
      </w:pPr>
      <w:r>
        <w:rPr>
          <w:rFonts w:hint="eastAsia" w:ascii="楷体" w:hAnsi="楷体" w:eastAsia="楷体"/>
          <w:sz w:val="24"/>
          <w:szCs w:val="24"/>
        </w:rPr>
        <w:t>现货方面，现货方面，浮法玻璃华北玻璃大板维持低位至1390元/吨、河北沙河大板现货降至1300元/吨，稳步下行。库存方面，玻璃在产企业总库存为6909万重量箱，环比上周上升199.88万重量箱。，大多数企业库存增加。</w:t>
      </w:r>
    </w:p>
    <w:p>
      <w:pPr>
        <w:ind w:left="630" w:leftChars="300"/>
        <w:rPr>
          <w:rFonts w:hint="eastAsia" w:ascii="楷体" w:hAnsi="楷体" w:eastAsia="楷体"/>
          <w:sz w:val="24"/>
          <w:szCs w:val="24"/>
        </w:rPr>
      </w:pPr>
      <w:r>
        <w:rPr>
          <w:rFonts w:hint="eastAsia" w:ascii="楷体" w:hAnsi="楷体" w:eastAsia="楷体"/>
          <w:sz w:val="24"/>
          <w:szCs w:val="24"/>
        </w:rPr>
        <w:t>总体来看，目前市场情绪较弱，许多厂家以低于成本的价格出货。下游需求不足且处于累库阶段，预计短期玻璃弱势震荡，建议观望。</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20823"/>
      <w:r>
        <w:rPr>
          <w:rFonts w:hint="eastAsia" w:ascii="Times New Roman" w:hAnsi="Times New Roman" w:eastAsia="楷体"/>
          <w:b/>
          <w:color w:val="000000" w:themeColor="text1"/>
          <w:sz w:val="24"/>
          <w:szCs w:val="24"/>
          <w14:textFill>
            <w14:solidFill>
              <w14:schemeClr w14:val="tx1"/>
            </w14:solidFill>
          </w14:textFill>
        </w:rPr>
        <w:t>纯碱：期价走弱供需并未出现改善迹象</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昨夜盘纯碱主力合约弱震荡收盘于1719元/吨。</w:t>
      </w:r>
    </w:p>
    <w:p>
      <w:pPr>
        <w:ind w:left="630" w:leftChars="300"/>
        <w:rPr>
          <w:rFonts w:hint="eastAsia" w:ascii="楷体" w:hAnsi="楷体" w:eastAsia="楷体"/>
          <w:sz w:val="24"/>
          <w:szCs w:val="24"/>
        </w:rPr>
      </w:pPr>
      <w:r>
        <w:rPr>
          <w:rFonts w:hint="eastAsia" w:ascii="楷体" w:hAnsi="楷体" w:eastAsia="楷体"/>
          <w:sz w:val="24"/>
          <w:szCs w:val="24"/>
        </w:rPr>
        <w:t>本周纯碱行业开工约90.07%，环比上升2%。在需求端，玻璃行业等主要下游市场的需求呈现疲软态势。特别是轻碱市场需求明显下滑，出货难度增加。另外楼市尚未出现明显回暖，各线城市房价仍处于环比下降。</w:t>
      </w:r>
    </w:p>
    <w:p>
      <w:pPr>
        <w:ind w:left="630" w:leftChars="300"/>
        <w:rPr>
          <w:rFonts w:hint="eastAsia" w:ascii="楷体" w:hAnsi="楷体" w:eastAsia="楷体"/>
          <w:sz w:val="24"/>
          <w:szCs w:val="24"/>
        </w:rPr>
      </w:pPr>
      <w:r>
        <w:rPr>
          <w:rFonts w:hint="eastAsia" w:ascii="楷体" w:hAnsi="楷体" w:eastAsia="楷体"/>
          <w:sz w:val="24"/>
          <w:szCs w:val="24"/>
        </w:rPr>
        <w:t>目前，供应恢复导致短期预计纯碱现货价格偏弱，纯碱生产成本较低因此盘面上或仍有下探空间，应等待反弹做空机会。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132"/>
      <w:r>
        <w:rPr>
          <w:rFonts w:hint="eastAsia" w:ascii="Times New Roman" w:hAnsi="Times New Roman" w:eastAsia="楷体"/>
          <w:b/>
          <w:color w:val="000000" w:themeColor="text1"/>
          <w:sz w:val="24"/>
          <w:szCs w:val="24"/>
          <w14:textFill>
            <w14:solidFill>
              <w14:schemeClr w14:val="tx1"/>
            </w14:solidFill>
          </w14:textFill>
        </w:rPr>
        <w:t>PTA：成本弱势及供需疲软共振 PTA承压下行</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成本端原油及PX方面，市场开始交易旺季结束以及OPEC+退出自愿减产，且受经济增长放缓和对石油需求下降，原油向下概率较大。随着PX集中检修结束，85%的高位开工下现货供应宽松走势承压。本周蓬威90万吨、嘉通300万吨PTA装置重启，逸盛海南250万吨装置降负运行，至周四PTA负荷上涨至83.8%（+4.1%）。截至本周四，初步核算国内大陆地区聚酯负荷在85.7%（+0%）附近，聚酯负荷低位维持，高温下终端开工率继续下滑。综合来看，原油短期跌势有望延续及PX供应充裕下，成本端驱动偏空。装置检修回归且后期PTA检修计划偏少，阶段性下游订单不足，涤丝工厂库存压力较大，高温天气下游开工恢复缓慢，8月份PTA静态供需依旧过剩且受制于宏观方面衰退风险，PTA暂维持承压下行弱势探底。仅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15090"/>
      <w:r>
        <w:rPr>
          <w:rFonts w:hint="eastAsia" w:ascii="Times New Roman" w:hAnsi="Times New Roman" w:eastAsia="楷体"/>
          <w:b/>
          <w:color w:val="000000" w:themeColor="text1"/>
          <w:sz w:val="24"/>
          <w:szCs w:val="24"/>
          <w14:textFill>
            <w14:solidFill>
              <w14:schemeClr w14:val="tx1"/>
            </w14:solidFill>
          </w14:textFill>
        </w:rPr>
        <w:t>乙二醇：终端负反馈 期价弱势探底</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8.5华东主港地区MEG港口库存约66.6万吨附近，环比上期+7.3万吨。主港集中到港，港口库存回升明显。截至8月8日，中国大陆地区乙二醇整体开工负荷在65.85%（+2.50%），其中草酸催化加氢法（合成气）制乙二醇开工负荷在64.44%（+4.17%）。截至8月8日，国内大陆地区聚酯负荷在85.7%（+0%）附近，聚酯负荷开工低位维持。终端来看，江浙终端开工继续下滑，截止8.8江浙下游加弹、织造、印染负荷分别在71%（-7%）、59%（-5%）、67%(-2%)。综合来看，聚酯终端开工持续下滑，低库存及弱需求博弈，短线受成本及需求疲软期价弱势下行。仅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29109"/>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hint="eastAsia" w:ascii="楷体" w:hAnsi="楷体" w:eastAsia="楷体"/>
          <w:b/>
        </w:rPr>
      </w:pPr>
      <w:bookmarkStart w:id="35" w:name="_Toc856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期价反弹后等待现货止跌企稳</w:t>
      </w:r>
      <w:bookmarkEnd w:id="35"/>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当前期价结构呈现V型结构，即旧作合约逐步贴水，但新作合约转向升水，其反映市场两个方面的预期，其一是市场对新作供需预期偏乐观，应该更多源于需求特别饲用需求恢复/改善的预期；其二是市场对新作上市压力预期较为强烈，这源于旧作产需缺口迟迟未能体现，市场主体特别是囤粮贸易商新作上市之前需要库存去化，在新作上市之初大概率缺乏补库动力。在这种情况下，接下来重点关注市场降库存背景之下会否出现新旧作供应衔接的问题。综上所述，我们维持谨慎看多观点，但建议投资者暂以观望为宜，待现货止跌后可考虑入场做多。</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影响淀粉-玉米价差的三方面因素中，行业供需继续趋于偏空，因行业库存持续累积；原料成本存在变数，因华北与东北产区玉米收购价多有下跌；而副产品端有望带来支撑，因美豆带动蛋白粕继续弱势，淀粉副产品缺乏上涨动力，这有望抑制淀粉-玉米价差继续回落空间。综上所述，我们维持谨慎看多观点，但建议暂以观望为宜。</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6" w:name="_Toc17272"/>
      <w:r>
        <w:rPr>
          <w:rFonts w:hint="eastAsia" w:ascii="楷体" w:hAnsi="楷体" w:eastAsia="楷体"/>
          <w:b/>
          <w:bCs/>
          <w:color w:val="000000" w:themeColor="text1"/>
          <w14:textFill>
            <w14:solidFill>
              <w14:schemeClr w14:val="tx1"/>
            </w14:solidFill>
          </w14:textFill>
        </w:rPr>
        <w:t>畜禽养殖：期价弱势震荡</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在经历六月中旬以来的短暂回落之后，七月以来现货逐步震荡回升，并已经突破六月高点，这使得市场逐步意识到当前甚至三季度供应端紧张的现实，9月期价在现货基差带动下逐步震荡走强，考虑到标肥价差走弱，而冷冻库容下滑，这一情况有望得到延续。据此我们维持谨慎看多观点，建议投资者持有前期2409合约多单。</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参考季节性规律来看，目前鸡蛋现货仍处于季节性上涨阶段，基于我们对鸡蛋供需格局特别是供应端的认知，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7月下半月现货持续回落，可理解为现货市场库存变动所致，考虑到行业供需和季节性因素，进入8月以来现货止跌回升，在基差支撑之下，期价特别是近月有望延续涨势。综上所述，我们维持谨慎看多观点，建议投资者持有旺季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331"/>
      <w:r>
        <w:rPr>
          <w:rFonts w:hint="eastAsia" w:ascii="楷体" w:hAnsi="楷体" w:eastAsia="楷体"/>
          <w:b/>
          <w:bCs/>
          <w:color w:val="000000" w:themeColor="text1"/>
          <w14:textFill>
            <w14:solidFill>
              <w14:schemeClr w14:val="tx1"/>
            </w14:solidFill>
          </w14:textFill>
        </w:rPr>
        <w:t>白糖：区间波段式震荡整理</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市场传闻印度将维持白糖出口限制，隔日外盘纽约原糖主力合约和伦敦白砂糖主力合约分别上涨2.43%和2.22%。据外电8月7日消息，巴西航运机构 Williams 发布的数据显示，截至8月7日当周，巴西港口等待装运食糖的船只数量为98艘，此前一周为111艘。港口等待装运的食糖数量为450.93万吨，此前一周为496.69万吨。国内夜盘，白糖09主力合约涨0.83%。在传统旺季的刚需驱使下，终端采购积极性增强，去库存进程加快，库存压力减轻，期价存在一定支撑，但新季存在丰产预期，预计整体区间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30029"/>
      <w:r>
        <w:rPr>
          <w:rFonts w:hint="eastAsia" w:ascii="楷体" w:hAnsi="楷体" w:eastAsia="楷体"/>
          <w:b/>
          <w:bCs/>
          <w:color w:val="000000" w:themeColor="text1"/>
          <w14:textFill>
            <w14:solidFill>
              <w14:schemeClr w14:val="tx1"/>
            </w14:solidFill>
          </w14:textFill>
        </w:rPr>
        <w:t>棉花：预计郑棉震荡偏弱</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市场担忧衰退，金融市场普遍暴跌，隔日夜盘ICE美棉主力依然下跌0.80%。美国农业部（ USDA )周四公布的出口销售报告显示，截至8月1日当周，美国2023/24年度 棉花出口销售净增19.08万吨。当周，2023/24年度美国棉花出口装船量为73.81万包，使得该年度棉花累计出口装船量达到1,107.04万包，较前一年度的1,177.75万包减少6%。国内夜盘，郑棉2309主力合约上涨0.75%。滑准税配额的数量虽不及预期，但宏观因素影响力增加，市场当前主要交易衰退逻辑，下游“旺季不旺”预期也占据上风。预计郑棉偏弱震荡。</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1541"/>
      <w:r>
        <w:rPr>
          <w:rFonts w:hint="eastAsia" w:ascii="楷体" w:hAnsi="楷体" w:eastAsia="楷体"/>
          <w:b/>
          <w:bCs/>
          <w:color w:val="000000" w:themeColor="text1"/>
          <w14:textFill>
            <w14:solidFill>
              <w14:schemeClr w14:val="tx1"/>
            </w14:solidFill>
          </w14:textFill>
        </w:rPr>
        <w:t>蛋白粕：需求不佳，粕类再度下挫</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大豆上涨1.28%，国内夜盘豆二下跌0.83%，豆粕下跌1.20%；菜籽上涨0.25%，菜粕下跌2.22%。美元走软使得美国出口更具吸引力，USDA公布数据，截至2024年8月1日当周，美国大豆出口检验量为261203吨，处于预估区间中下水平。昨日国内夜盘豆二主力合约下跌0.83%，豆粕下跌1.20%；菜籽反弹0.25%，菜粕下跌2.22%。目前国内油厂油料供应充足，开机率都维持高位，进而豆粕、菜粕供应充足，粕类价格有一定压力。且短期来看，压力不容易缓解，现货疲软将继续对盘面产生牵制，预计短期粕类近月压力仍然明显。但美豆上涨可能对今日盘面有提振作用，建议暂时观望。</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8182"/>
      <w:r>
        <w:rPr>
          <w:rFonts w:hint="eastAsia" w:ascii="楷体" w:hAnsi="楷体" w:eastAsia="楷体"/>
          <w:b/>
          <w:bCs/>
          <w:color w:val="000000" w:themeColor="text1"/>
          <w14:textFill>
            <w14:solidFill>
              <w14:schemeClr w14:val="tx1"/>
            </w14:solidFill>
          </w14:textFill>
        </w:rPr>
        <w:t>油脂类：整体偏弱，马棕油领跌</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下跌0.82%，菜油下跌0.42%，棕榈油下跌1.22%。受宏观层面偏弱影响，市场情绪导致商品整体偏弱，纷纷下跌。但马棕油基本面偏紧，整体而言较为抗跌，尤其是印度需求极其旺盛，7月进口量环比激增39%，有支撑盘面作用。昨日大幅下跌后，可留意低多机会。</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1" w:name="_Toc1514"/>
      <w:r>
        <w:rPr>
          <w:rFonts w:hint="eastAsia" w:ascii="Times New Roman" w:hAnsi="Times New Roman" w:eastAsia="楷体"/>
          <w:b/>
          <w:color w:val="823C0B"/>
          <w:sz w:val="30"/>
          <w:szCs w:val="30"/>
        </w:rPr>
        <w:t>[指数]</w:t>
      </w:r>
      <w:bookmarkEnd w:id="41"/>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2" w:name="_Toc12870"/>
      <w:r>
        <w:rPr>
          <w:rFonts w:hint="eastAsia" w:ascii="Times New Roman" w:hAnsi="Times New Roman" w:eastAsia="楷体"/>
          <w:b/>
          <w:color w:val="000000" w:themeColor="text1"/>
          <w:sz w:val="24"/>
          <w:szCs w:val="24"/>
          <w14:textFill>
            <w14:solidFill>
              <w14:schemeClr w14:val="tx1"/>
            </w14:solidFill>
          </w14:textFill>
        </w:rPr>
        <w:t>集运指数（欧线）：进入淡贵叠加宏观承压，期市悲观情绪显现</w:t>
      </w:r>
      <w:bookmarkEnd w:id="42"/>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即期运价走势：7月29日，SCFIS欧线指数为6225.65点与上期相比跌1.5%。8月2日，SCFI上海港出口至欧洲基本港市场运价（海运及海运附加费）为4907美元/TEU，较上期下跌1.7%。</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地缘方面，上周末，美国与以色列方面称伊朗将在周一发动攻击，美方发言于伊朗方面出现分化。</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需求端：目前，欧洲企业对近几个月的商业经营状况更加悲观，加之制造业订单继续表现疲软，未来欧洲经济的复苏前景并不乐观。</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总体来看，现货回落预期再起</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留意短期风险，建议投资者谨慎操作。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71212556"/>
      <w:bookmarkStart w:id="44" w:name="_Toc72481108"/>
      <w:bookmarkStart w:id="45" w:name="_Toc98426751"/>
      <w:bookmarkStart w:id="46" w:name="_Toc12779"/>
      <w:bookmarkStart w:id="47" w:name="_Toc19667"/>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2024年8月9日星期五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32A04C1"/>
    <w:rsid w:val="1330029C"/>
    <w:rsid w:val="134E6356"/>
    <w:rsid w:val="13AE24B4"/>
    <w:rsid w:val="14D51A3C"/>
    <w:rsid w:val="15364A7C"/>
    <w:rsid w:val="15602ADB"/>
    <w:rsid w:val="15947E4C"/>
    <w:rsid w:val="15D52593"/>
    <w:rsid w:val="1626611D"/>
    <w:rsid w:val="16E2497F"/>
    <w:rsid w:val="17A736B0"/>
    <w:rsid w:val="197E6634"/>
    <w:rsid w:val="1B7329E7"/>
    <w:rsid w:val="1B8A2034"/>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40E7198"/>
    <w:rsid w:val="34A75784"/>
    <w:rsid w:val="3581551C"/>
    <w:rsid w:val="35947F79"/>
    <w:rsid w:val="35D65FDD"/>
    <w:rsid w:val="36C14F46"/>
    <w:rsid w:val="36C44D71"/>
    <w:rsid w:val="373F75CC"/>
    <w:rsid w:val="37C101D4"/>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ED1DE1"/>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C32497"/>
    <w:rsid w:val="669D0EEA"/>
    <w:rsid w:val="66B64FC1"/>
    <w:rsid w:val="66C861F9"/>
    <w:rsid w:val="66D04BBC"/>
    <w:rsid w:val="67655BF9"/>
    <w:rsid w:val="678C3343"/>
    <w:rsid w:val="67C6389B"/>
    <w:rsid w:val="685D4EEE"/>
    <w:rsid w:val="68AE1587"/>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2024-08-09T02:12:01Z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