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_Toc18698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_Toc15601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_Toc13768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_Toc24786 </w:instrText>
          </w:r>
          <w:r>
            <w:rPr>
              <w:bCs/>
            </w:rPr>
            <w:fldChar w:fldCharType="separate"/>
          </w:r>
          <w:r>
            <w:rPr>
              <w:rFonts w:hint="eastAsia" w:ascii="Times New Roman" w:hAnsi="Times New Roman" w:eastAsia="楷体"/>
              <w:szCs w:val="24"/>
            </w:rPr>
            <w:t>贵金属：7月纽约联储通胀预期略微下调，贵金属价格上涨</w:t>
          </w:r>
          <w:r>
            <w:rPr>
              <w:bCs/>
            </w:rPr>
            <w:fldChar w:fldCharType="end"/>
          </w:r>
        </w:p>
        <w:p>
          <w:pPr>
            <w:pStyle w:val="59"/>
            <w:tabs>
              <w:tab w:val="right" w:leader="dot" w:pos="8306"/>
            </w:tabs>
          </w:pPr>
          <w:r>
            <w:rPr>
              <w:bCs/>
            </w:rPr>
            <w:fldChar w:fldCharType="begin"/>
          </w:r>
          <w:r>
            <w:rPr>
              <w:bCs/>
            </w:rPr>
            <w:instrText xml:space="preserve"> HYPERLINK \l _Toc9591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_Toc13036 </w:instrText>
          </w:r>
          <w:r>
            <w:rPr>
              <w:bCs/>
            </w:rPr>
            <w:fldChar w:fldCharType="separate"/>
          </w:r>
          <w:r>
            <w:rPr>
              <w:rFonts w:hint="eastAsia" w:ascii="楷体" w:hAnsi="楷体" w:eastAsia="楷体"/>
              <w:szCs w:val="24"/>
            </w:rPr>
            <w:t>碳酸锂：7月碳酸锂产量环比微减，期价下跌</w:t>
          </w:r>
          <w:r>
            <w:rPr>
              <w:bCs/>
            </w:rPr>
            <w:fldChar w:fldCharType="end"/>
          </w:r>
        </w:p>
        <w:p>
          <w:pPr>
            <w:pStyle w:val="74"/>
            <w:tabs>
              <w:tab w:val="right" w:leader="dot" w:pos="8306"/>
            </w:tabs>
          </w:pPr>
          <w:r>
            <w:rPr>
              <w:bCs/>
            </w:rPr>
            <w:fldChar w:fldCharType="begin"/>
          </w:r>
          <w:r>
            <w:rPr>
              <w:bCs/>
            </w:rPr>
            <w:instrText xml:space="preserve"> HYPERLINK \l _Toc12877 </w:instrText>
          </w:r>
          <w:r>
            <w:rPr>
              <w:bCs/>
            </w:rPr>
            <w:fldChar w:fldCharType="separate"/>
          </w:r>
          <w:r>
            <w:rPr>
              <w:rFonts w:hint="eastAsia" w:ascii="楷体" w:hAnsi="楷体" w:eastAsia="楷体"/>
              <w:szCs w:val="24"/>
            </w:rPr>
            <w:t>铝：反弹有限，保持低位震荡运行</w:t>
          </w:r>
          <w:r>
            <w:rPr>
              <w:bCs/>
            </w:rPr>
            <w:fldChar w:fldCharType="end"/>
          </w:r>
        </w:p>
        <w:p>
          <w:pPr>
            <w:pStyle w:val="74"/>
            <w:tabs>
              <w:tab w:val="right" w:leader="dot" w:pos="8306"/>
            </w:tabs>
          </w:pPr>
          <w:r>
            <w:rPr>
              <w:bCs/>
            </w:rPr>
            <w:fldChar w:fldCharType="begin"/>
          </w:r>
          <w:r>
            <w:rPr>
              <w:bCs/>
            </w:rPr>
            <w:instrText xml:space="preserve"> HYPERLINK \l _Toc20252 </w:instrText>
          </w:r>
          <w:r>
            <w:rPr>
              <w:bCs/>
            </w:rPr>
            <w:fldChar w:fldCharType="separate"/>
          </w:r>
          <w:r>
            <w:rPr>
              <w:rFonts w:hint="eastAsia" w:ascii="楷体" w:hAnsi="楷体" w:eastAsia="楷体"/>
              <w:szCs w:val="24"/>
            </w:rPr>
            <w:t>锌：供应缩减需求疲软，上下有限区间震荡</w:t>
          </w:r>
          <w:r>
            <w:rPr>
              <w:bCs/>
            </w:rPr>
            <w:fldChar w:fldCharType="end"/>
          </w:r>
        </w:p>
        <w:p>
          <w:pPr>
            <w:pStyle w:val="74"/>
            <w:tabs>
              <w:tab w:val="right" w:leader="dot" w:pos="8306"/>
            </w:tabs>
          </w:pPr>
          <w:r>
            <w:rPr>
              <w:bCs/>
            </w:rPr>
            <w:fldChar w:fldCharType="begin"/>
          </w:r>
          <w:r>
            <w:rPr>
              <w:bCs/>
            </w:rPr>
            <w:instrText xml:space="preserve"> HYPERLINK \l _Toc12613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：宏观情绪暂稳，短期铜价或进入震荡整理</w:t>
          </w:r>
          <w:r>
            <w:rPr>
              <w:bCs/>
            </w:rPr>
            <w:fldChar w:fldCharType="end"/>
          </w:r>
        </w:p>
        <w:p>
          <w:pPr>
            <w:pStyle w:val="74"/>
            <w:tabs>
              <w:tab w:val="right" w:leader="dot" w:pos="8306"/>
            </w:tabs>
          </w:pPr>
          <w:r>
            <w:rPr>
              <w:bCs/>
            </w:rPr>
            <w:fldChar w:fldCharType="begin"/>
          </w:r>
          <w:r>
            <w:rPr>
              <w:bCs/>
            </w:rPr>
            <w:instrText xml:space="preserve"> HYPERLINK \l _Toc1212 </w:instrText>
          </w:r>
          <w:r>
            <w:rPr>
              <w:bCs/>
            </w:rPr>
            <w:fldChar w:fldCharType="separate"/>
          </w:r>
          <w:r>
            <w:rPr>
              <w:rFonts w:hint="eastAsia" w:ascii="楷体" w:hAnsi="楷体" w:eastAsia="楷体"/>
              <w:szCs w:val="24"/>
            </w:rPr>
            <w:t>镍：基本面延续弱势，宏观主导短期价格</w:t>
          </w:r>
          <w:r>
            <w:rPr>
              <w:bCs/>
            </w:rPr>
            <w:fldChar w:fldCharType="end"/>
          </w:r>
        </w:p>
        <w:p>
          <w:pPr>
            <w:pStyle w:val="74"/>
            <w:tabs>
              <w:tab w:val="right" w:leader="dot" w:pos="8306"/>
            </w:tabs>
          </w:pPr>
          <w:r>
            <w:rPr>
              <w:bCs/>
            </w:rPr>
            <w:fldChar w:fldCharType="begin"/>
          </w:r>
          <w:r>
            <w:rPr>
              <w:bCs/>
            </w:rPr>
            <w:instrText xml:space="preserve"> HYPERLINK \l _Toc29045 </w:instrText>
          </w:r>
          <w:r>
            <w:rPr>
              <w:bCs/>
            </w:rPr>
            <w:fldChar w:fldCharType="separate"/>
          </w:r>
          <w:r>
            <w:rPr>
              <w:rFonts w:hint="eastAsia" w:ascii="楷体" w:hAnsi="楷体" w:eastAsia="楷体"/>
              <w:szCs w:val="24"/>
            </w:rPr>
            <w:t>不锈钢：库存压力与成本支撑交织，维持震荡思路</w:t>
          </w:r>
          <w:r>
            <w:rPr>
              <w:bCs/>
            </w:rPr>
            <w:fldChar w:fldCharType="end"/>
          </w:r>
        </w:p>
        <w:p>
          <w:pPr>
            <w:pStyle w:val="74"/>
            <w:tabs>
              <w:tab w:val="right" w:leader="dot" w:pos="8306"/>
            </w:tabs>
          </w:pPr>
          <w:r>
            <w:rPr>
              <w:bCs/>
            </w:rPr>
            <w:fldChar w:fldCharType="begin"/>
          </w:r>
          <w:r>
            <w:rPr>
              <w:bCs/>
            </w:rPr>
            <w:instrText xml:space="preserve"> HYPERLINK \l _Toc14111 </w:instrText>
          </w:r>
          <w:r>
            <w:rPr>
              <w:bCs/>
            </w:rPr>
            <w:fldChar w:fldCharType="separate"/>
          </w:r>
          <w:r>
            <w:rPr>
              <w:rFonts w:hint="eastAsia" w:ascii="楷体" w:hAnsi="楷体" w:eastAsia="楷体"/>
              <w:szCs w:val="24"/>
            </w:rPr>
            <w:t>工业硅：市场看空情绪浓厚，或仍有下跌风险</w:t>
          </w:r>
          <w:r>
            <w:rPr>
              <w:bCs/>
            </w:rPr>
            <w:fldChar w:fldCharType="end"/>
          </w:r>
        </w:p>
        <w:p>
          <w:pPr>
            <w:pStyle w:val="59"/>
            <w:tabs>
              <w:tab w:val="right" w:leader="dot" w:pos="8306"/>
            </w:tabs>
          </w:pPr>
          <w:r>
            <w:rPr>
              <w:bCs/>
            </w:rPr>
            <w:fldChar w:fldCharType="begin"/>
          </w:r>
          <w:r>
            <w:rPr>
              <w:bCs/>
            </w:rPr>
            <w:instrText xml:space="preserve"> HYPERLINK \l _Toc16148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_Toc26380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汽车产销数据略不及预期 天胶涨幅收窄</w:t>
          </w:r>
          <w:r>
            <w:rPr>
              <w:bCs/>
            </w:rPr>
            <w:fldChar w:fldCharType="end"/>
          </w:r>
        </w:p>
        <w:p>
          <w:pPr>
            <w:pStyle w:val="74"/>
            <w:tabs>
              <w:tab w:val="right" w:leader="dot" w:pos="8306"/>
            </w:tabs>
          </w:pPr>
          <w:r>
            <w:rPr>
              <w:bCs/>
            </w:rPr>
            <w:fldChar w:fldCharType="begin"/>
          </w:r>
          <w:r>
            <w:rPr>
              <w:bCs/>
            </w:rPr>
            <w:instrText xml:space="preserve"> HYPERLINK \l _Toc3983 </w:instrText>
          </w:r>
          <w:r>
            <w:rPr>
              <w:bCs/>
            </w:rPr>
            <w:fldChar w:fldCharType="separate"/>
          </w:r>
          <w:r>
            <w:rPr>
              <w:rFonts w:hint="eastAsia" w:ascii="Times New Roman" w:hAnsi="Times New Roman" w:eastAsia="楷体"/>
              <w:szCs w:val="24"/>
            </w:rPr>
            <w:t>聚烯烃：需求仍处淡季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_Toc21750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累库收窄但现货疲弱，期价弱势下探</w:t>
          </w:r>
          <w:r>
            <w:rPr>
              <w:bCs/>
            </w:rPr>
            <w:fldChar w:fldCharType="end"/>
          </w:r>
        </w:p>
        <w:p>
          <w:pPr>
            <w:pStyle w:val="74"/>
            <w:tabs>
              <w:tab w:val="right" w:leader="dot" w:pos="8306"/>
            </w:tabs>
          </w:pPr>
          <w:r>
            <w:rPr>
              <w:bCs/>
            </w:rPr>
            <w:fldChar w:fldCharType="begin"/>
          </w:r>
          <w:r>
            <w:rPr>
              <w:bCs/>
            </w:rPr>
            <w:instrText xml:space="preserve"> HYPERLINK \l _Toc10078 </w:instrText>
          </w:r>
          <w:r>
            <w:rPr>
              <w:bCs/>
            </w:rPr>
            <w:fldChar w:fldCharType="separate"/>
          </w:r>
          <w:r>
            <w:rPr>
              <w:rFonts w:hint="eastAsia" w:ascii="Times New Roman" w:hAnsi="Times New Roman" w:eastAsia="楷体"/>
              <w:szCs w:val="24"/>
            </w:rPr>
            <w:t>纯碱：供应缩减无助支撑期价走弱，仍需时间等待供需平衡点</w:t>
          </w:r>
          <w:r>
            <w:rPr>
              <w:bCs/>
            </w:rPr>
            <w:fldChar w:fldCharType="end"/>
          </w:r>
        </w:p>
        <w:p>
          <w:pPr>
            <w:pStyle w:val="74"/>
            <w:tabs>
              <w:tab w:val="right" w:leader="dot" w:pos="8306"/>
            </w:tabs>
          </w:pPr>
          <w:r>
            <w:rPr>
              <w:bCs/>
            </w:rPr>
            <w:fldChar w:fldCharType="begin"/>
          </w:r>
          <w:r>
            <w:rPr>
              <w:bCs/>
            </w:rPr>
            <w:instrText xml:space="preserve"> HYPERLINK \l _Toc27135 </w:instrText>
          </w:r>
          <w:r>
            <w:rPr>
              <w:bCs/>
            </w:rPr>
            <w:fldChar w:fldCharType="separate"/>
          </w:r>
          <w:r>
            <w:rPr>
              <w:rFonts w:hint="eastAsia" w:ascii="Times New Roman" w:hAnsi="Times New Roman" w:eastAsia="楷体"/>
              <w:szCs w:val="24"/>
            </w:rPr>
            <w:t>PTA：成本弱势及供需疲软共振 PTA承压下行</w:t>
          </w:r>
          <w:r>
            <w:rPr>
              <w:bCs/>
            </w:rPr>
            <w:fldChar w:fldCharType="end"/>
          </w:r>
        </w:p>
        <w:p>
          <w:pPr>
            <w:pStyle w:val="74"/>
            <w:tabs>
              <w:tab w:val="right" w:leader="dot" w:pos="8306"/>
            </w:tabs>
          </w:pPr>
          <w:r>
            <w:rPr>
              <w:bCs/>
            </w:rPr>
            <w:fldChar w:fldCharType="begin"/>
          </w:r>
          <w:r>
            <w:rPr>
              <w:bCs/>
            </w:rPr>
            <w:instrText xml:space="preserve"> HYPERLINK \l _Toc20350 </w:instrText>
          </w:r>
          <w:r>
            <w:rPr>
              <w:bCs/>
            </w:rPr>
            <w:fldChar w:fldCharType="separate"/>
          </w:r>
          <w:r>
            <w:rPr>
              <w:rFonts w:hint="eastAsia" w:ascii="Times New Roman" w:hAnsi="Times New Roman" w:eastAsia="楷体"/>
              <w:szCs w:val="24"/>
            </w:rPr>
            <w:t>乙二醇：终端负反馈 期价弱势探底</w:t>
          </w:r>
          <w:r>
            <w:rPr>
              <w:bCs/>
            </w:rPr>
            <w:fldChar w:fldCharType="end"/>
          </w:r>
        </w:p>
        <w:p>
          <w:pPr>
            <w:pStyle w:val="59"/>
            <w:tabs>
              <w:tab w:val="right" w:leader="dot" w:pos="8306"/>
            </w:tabs>
          </w:pPr>
          <w:r>
            <w:rPr>
              <w:bCs/>
            </w:rPr>
            <w:fldChar w:fldCharType="begin"/>
          </w:r>
          <w:r>
            <w:rPr>
              <w:bCs/>
            </w:rPr>
            <w:instrText xml:space="preserve"> HYPERLINK \l _Toc17931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_Toc8120 </w:instrText>
          </w:r>
          <w:r>
            <w:rPr>
              <w:bCs/>
            </w:rPr>
            <w:fldChar w:fldCharType="separate"/>
          </w:r>
          <w:r>
            <w:rPr>
              <w:rFonts w:hint="eastAsia" w:ascii="楷体" w:hAnsi="楷体" w:eastAsia="楷体"/>
              <w:bCs/>
            </w:rPr>
            <w:t>玉米与淀粉：</w:t>
          </w:r>
          <w:r>
            <w:rPr>
              <w:rFonts w:hint="eastAsia" w:ascii="楷体" w:hAnsi="楷体" w:eastAsia="楷体"/>
            </w:rPr>
            <w:t>现货弱势拖累期价表现</w:t>
          </w:r>
          <w:r>
            <w:rPr>
              <w:bCs/>
            </w:rPr>
            <w:fldChar w:fldCharType="end"/>
          </w:r>
        </w:p>
        <w:p>
          <w:pPr>
            <w:pStyle w:val="74"/>
            <w:tabs>
              <w:tab w:val="right" w:leader="dot" w:pos="8306"/>
            </w:tabs>
          </w:pPr>
          <w:r>
            <w:rPr>
              <w:bCs/>
            </w:rPr>
            <w:fldChar w:fldCharType="begin"/>
          </w:r>
          <w:r>
            <w:rPr>
              <w:bCs/>
            </w:rPr>
            <w:instrText xml:space="preserve"> HYPERLINK \l _Toc873 </w:instrText>
          </w:r>
          <w:r>
            <w:rPr>
              <w:bCs/>
            </w:rPr>
            <w:fldChar w:fldCharType="separate"/>
          </w:r>
          <w:r>
            <w:rPr>
              <w:rFonts w:hint="eastAsia" w:ascii="楷体" w:hAnsi="楷体" w:eastAsia="楷体"/>
              <w:bCs/>
            </w:rPr>
            <w:t>畜禽养殖：生猪期价多有上涨</w:t>
          </w:r>
          <w:r>
            <w:rPr>
              <w:bCs/>
            </w:rPr>
            <w:fldChar w:fldCharType="end"/>
          </w:r>
        </w:p>
        <w:p>
          <w:pPr>
            <w:pStyle w:val="74"/>
            <w:tabs>
              <w:tab w:val="right" w:leader="dot" w:pos="8306"/>
            </w:tabs>
          </w:pPr>
          <w:r>
            <w:rPr>
              <w:bCs/>
            </w:rPr>
            <w:fldChar w:fldCharType="begin"/>
          </w:r>
          <w:r>
            <w:rPr>
              <w:bCs/>
            </w:rPr>
            <w:instrText xml:space="preserve"> HYPERLINK \l _Toc19482 </w:instrText>
          </w:r>
          <w:r>
            <w:rPr>
              <w:bCs/>
            </w:rPr>
            <w:fldChar w:fldCharType="separate"/>
          </w:r>
          <w:r>
            <w:rPr>
              <w:rFonts w:hint="eastAsia" w:ascii="楷体" w:hAnsi="楷体" w:eastAsia="楷体"/>
              <w:bCs/>
            </w:rPr>
            <w:t>白糖：波段式偏弱震荡</w:t>
          </w:r>
          <w:r>
            <w:rPr>
              <w:bCs/>
            </w:rPr>
            <w:fldChar w:fldCharType="end"/>
          </w:r>
        </w:p>
        <w:p>
          <w:pPr>
            <w:pStyle w:val="74"/>
            <w:tabs>
              <w:tab w:val="right" w:leader="dot" w:pos="8306"/>
            </w:tabs>
          </w:pPr>
          <w:r>
            <w:rPr>
              <w:bCs/>
            </w:rPr>
            <w:fldChar w:fldCharType="begin"/>
          </w:r>
          <w:r>
            <w:rPr>
              <w:bCs/>
            </w:rPr>
            <w:instrText xml:space="preserve"> HYPERLINK \l _Toc1255 </w:instrText>
          </w:r>
          <w:r>
            <w:rPr>
              <w:bCs/>
            </w:rPr>
            <w:fldChar w:fldCharType="separate"/>
          </w:r>
          <w:r>
            <w:rPr>
              <w:rFonts w:hint="eastAsia" w:ascii="楷体" w:hAnsi="楷体" w:eastAsia="楷体"/>
              <w:bCs/>
            </w:rPr>
            <w:t>棉花：预计郑棉区间震荡整理</w:t>
          </w:r>
          <w:r>
            <w:rPr>
              <w:bCs/>
            </w:rPr>
            <w:fldChar w:fldCharType="end"/>
          </w:r>
        </w:p>
        <w:p>
          <w:pPr>
            <w:pStyle w:val="74"/>
            <w:tabs>
              <w:tab w:val="right" w:leader="dot" w:pos="8306"/>
            </w:tabs>
          </w:pPr>
          <w:r>
            <w:rPr>
              <w:bCs/>
            </w:rPr>
            <w:fldChar w:fldCharType="begin"/>
          </w:r>
          <w:r>
            <w:rPr>
              <w:bCs/>
            </w:rPr>
            <w:instrText xml:space="preserve"> HYPERLINK \l _Toc5972 </w:instrText>
          </w:r>
          <w:r>
            <w:rPr>
              <w:bCs/>
            </w:rPr>
            <w:fldChar w:fldCharType="separate"/>
          </w:r>
          <w:r>
            <w:rPr>
              <w:rFonts w:hint="eastAsia" w:ascii="楷体" w:hAnsi="楷体" w:eastAsia="楷体"/>
              <w:bCs/>
            </w:rPr>
            <w:t>蛋白粕：美豆最新数据超预期，再度下挫</w:t>
          </w:r>
          <w:r>
            <w:rPr>
              <w:bCs/>
            </w:rPr>
            <w:fldChar w:fldCharType="end"/>
          </w:r>
        </w:p>
        <w:p>
          <w:pPr>
            <w:pStyle w:val="74"/>
            <w:tabs>
              <w:tab w:val="right" w:leader="dot" w:pos="8306"/>
            </w:tabs>
          </w:pPr>
          <w:r>
            <w:rPr>
              <w:bCs/>
            </w:rPr>
            <w:fldChar w:fldCharType="begin"/>
          </w:r>
          <w:r>
            <w:rPr>
              <w:bCs/>
            </w:rPr>
            <w:instrText xml:space="preserve"> HYPERLINK \l _Toc2368 </w:instrText>
          </w:r>
          <w:r>
            <w:rPr>
              <w:bCs/>
            </w:rPr>
            <w:fldChar w:fldCharType="separate"/>
          </w:r>
          <w:r>
            <w:rPr>
              <w:rFonts w:hint="eastAsia" w:ascii="楷体" w:hAnsi="楷体" w:eastAsia="楷体"/>
              <w:bCs/>
            </w:rPr>
            <w:t>油脂类：受美豆丰产影响外盘下跌，短期依旧偏弱</w:t>
          </w:r>
          <w:r>
            <w:rPr>
              <w:bCs/>
            </w:rPr>
            <w:fldChar w:fldCharType="end"/>
          </w:r>
        </w:p>
        <w:p>
          <w:pPr>
            <w:pStyle w:val="59"/>
            <w:tabs>
              <w:tab w:val="right" w:leader="dot" w:pos="8306"/>
            </w:tabs>
          </w:pPr>
          <w:r>
            <w:rPr>
              <w:bCs/>
            </w:rPr>
            <w:fldChar w:fldCharType="begin"/>
          </w:r>
          <w:r>
            <w:rPr>
              <w:bCs/>
            </w:rPr>
            <w:instrText xml:space="preserve"> HYPERLINK \l _Toc22739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_Toc22344 </w:instrText>
          </w:r>
          <w:r>
            <w:rPr>
              <w:bCs/>
            </w:rPr>
            <w:fldChar w:fldCharType="separate"/>
          </w:r>
          <w:r>
            <w:rPr>
              <w:rFonts w:hint="eastAsia" w:ascii="Times New Roman" w:hAnsi="Times New Roman" w:eastAsia="楷体"/>
              <w:szCs w:val="24"/>
            </w:rPr>
            <w:t>集运指数（欧线）：宏观承压数据走弱，期市悲观情绪显现</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869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560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窄幅整理，市场量能萎缩严重，上证指数收跌0.14%报2858.2点，市场成交额不足5000亿元。目前，A股仍受困于市场买盘单一，缺乏自发性的买盘形成合力，总量的不足会影响局部上攻持续性，进入8月中下旬后，中报密集披露，在新国九条严监管下，需再次规避微盘和绩差股的风险发酵。中期核心问题在于内需偏弱的环境仍未改观，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376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4786"/>
      <w:r>
        <w:rPr>
          <w:rFonts w:hint="eastAsia" w:ascii="Times New Roman" w:hAnsi="Times New Roman" w:eastAsia="楷体"/>
          <w:b/>
          <w:color w:val="000000" w:themeColor="text1"/>
          <w:sz w:val="24"/>
          <w:szCs w:val="24"/>
          <w14:textFill>
            <w14:solidFill>
              <w14:schemeClr w14:val="tx1"/>
            </w14:solidFill>
          </w14:textFill>
        </w:rPr>
        <w:t>贵金属：7月纽约联储通胀预期略微下调，贵金属价格上涨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1.59%至571.54元/克，沪银涨1.85%至7220元/千克。美国7月纽约联储1年通胀预期为2.97%，前值3.02%。上周美联储巴尔金表示，仍有时间判断经济是否稳步正常化，对于未来几个月的通胀表现较为乐观。本周关注周二及周三即将公布的美国通胀数据，当前海外市场预期美国7月CPI环比或温和上升，对于9月降息预期的影响或相对较小。当前距离美联储降息或更近一步，若后续美国经济数据进一步走弱，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959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03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碳酸锂：7月碳酸锂产量环比微减，期价下跌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走弱，期价小幅低开、午后扩大跌幅，11合约跌3.37%至76000元/吨，续创新低。SMM数据显示，7月国内碳酸锂产量约64960吨，环比降2%，同比增43%；7月，国内氢氧化锂产量约32310吨，环比降8%，同比增21%。盐湖端，往年的月度产量常在8月附近达到高峰，后续随气温的逐步降低，盐湖提锂产量或缓慢下行。矿石端企业后续或因成本持续倒挂而有所减量，下游材料企业排产有所回暖，带动补库需求。后续金九银十传统旺季或对需求带来提振，供强需弱环境下期价持续磨底，震荡中枢小幅下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287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反弹有限，保持低位震荡运行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9月美联储大概率降息，降息前期有色价格普遍承压，宏观情绪弱向扰动。铝土矿供应紧张价格高位，氧化铝现货报价坚挺，电解铝成本仍有支撑，中游冶炼开产高位，淡季国内下游需求平淡，金九银十旺季效应待证伪，国内交易所+社会库存铝锭库存累积，铝棒顺畅去库，海外库存保持去库节奏。宏观支撑偏弱，基本面供大于求，铝价反弹空间有限，保持低位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0252"/>
      <w:r>
        <w:rPr>
          <w:rFonts w:hint="eastAsia" w:ascii="楷体" w:hAnsi="楷体" w:eastAsia="楷体"/>
          <w:b/>
          <w:color w:val="000000" w:themeColor="text1"/>
          <w:sz w:val="24"/>
          <w:szCs w:val="24"/>
          <w14:textFill>
            <w14:solidFill>
              <w14:schemeClr w14:val="tx1"/>
            </w14:solidFill>
          </w14:textFill>
        </w:rPr>
        <w:t>锌：供应缩减需求疲软，上下有限区间震荡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9月有几率降息50BP，降息真空期宏观情绪难言乐观。锌矿TC费率持续低迷，冶炼端负利润压力传导，部分地区冶炼厂检修增加，7月精炼锌产量环比下行约计10%，下游企业加工伴随锌价走低有所转好，临近旺季消费有边际修复预期，实际旺季是否能够到来仍待证伪，库存高位持续去化，锌市供应预期发生转变，价格挺立上行，大环境风险偏好较弱，锌价上下空间有限，短期或保持22000-23500区间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261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：宏观情绪暂稳，短期铜价或进入震荡整理</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(1)库存：8月8日，SHFE仓单库存188842吨，日减2208吨；SHFE周库存286305吨，较上周五减8836吨；LME仓单库存296400吨，日增1975吨。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(2)精废价差：8月8日，Mysteel精废价差1590，扩张162。目前价差在合理价差1415之上。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综述：宏观面，短期宏观情绪暂稳，价格继续大幅下挫动力不强，但全球经济尤其美国的不确定性仍将影响风险偏好，限制价格反弹空间。基本面，LME 铜库存大幅增加凸显当前市场宽松格局，但废铜供应在国内政策约束下有所收紧，促进精铜消费，国内库存延续去化态势，短期价格或企稳震荡为主，上方空间暂不乐观，国内库存压力缓解或有利于现货升水有所走强，单边主波动区间参考71000-73000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12"/>
      <w:r>
        <w:rPr>
          <w:rFonts w:hint="eastAsia" w:ascii="楷体" w:hAnsi="楷体" w:eastAsia="楷体"/>
          <w:b/>
          <w:color w:val="000000" w:themeColor="text1"/>
          <w:sz w:val="24"/>
          <w:szCs w:val="24"/>
          <w14:textFill>
            <w14:solidFill>
              <w14:schemeClr w14:val="tx1"/>
            </w14:solidFill>
          </w14:textFill>
        </w:rPr>
        <w:t>镍：基本面延续弱势，宏观主导短期价格</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经济衰退担忧缓解，关注即将公布的美国通胀数据。镍矿方面，印尼及菲律宾雨季恶劣天气使镍矿供应继续受阻，目前印尼镍矿价格居高不下。硫酸镍方面，维持供需双弱，亏损挺价状态下硫酸镍价格预计仍以弱稳为主。供需方面未有明显变化，社库维持累库。综合而言，镍仍属于基本面较弱的品种，但短期供需未发生明显变化，镍矿现实供应偏紧形成底部支撑，预计短期镍价主要跟随宏观情绪反复而区间震荡运行，主要波动区间可参考124000-134000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9045"/>
      <w:r>
        <w:rPr>
          <w:rFonts w:hint="eastAsia" w:ascii="楷体" w:hAnsi="楷体" w:eastAsia="楷体"/>
          <w:b/>
          <w:color w:val="000000" w:themeColor="text1"/>
          <w:sz w:val="24"/>
          <w:szCs w:val="24"/>
          <w14:textFill>
            <w14:solidFill>
              <w14:schemeClr w14:val="tx1"/>
            </w14:solidFill>
          </w14:textFill>
        </w:rPr>
        <w:t>不锈钢：库存压力与成本支撑交织，维持震荡思路</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印尼镍矿升水居高不下为镍铁提供成本支撑，且镍铁供需状态偏紧，因而价格表现强势。供应方面，钢厂对于金九银十传统消费旺季抱以期待，8月排产具有增量。需求方面，下游成交氛围仍然偏弱，压制价格向上空间，持续关注旺季预期能否兑现。库存方面，仓单库存流入现货市场，而下游成交以低价刚需采购为主，社库累积至109万吨。综合而言，一方面，镍矿及镍铁价格坚挺为不锈钢价格带来底部支撑，钢厂挺价情绪较强，价格继续向下空间有限；另一方面，需求未见起色，社库高位累积，对价格形成压制，预计短期不锈钢价格震荡为主，主要运行区间参考13600-14300元/吨，关注镍铁价格下行可能性及需求回暖可能性。</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411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市场看空情绪浓厚，或仍有下跌风险</w:t>
      </w:r>
      <w:bookmarkEnd w:id="25"/>
    </w:p>
    <w:p>
      <w:pPr>
        <w:ind w:left="630" w:leftChars="300"/>
        <w:rPr>
          <w:rFonts w:ascii="楷体" w:hAnsi="楷体" w:eastAsia="楷体"/>
          <w:sz w:val="24"/>
          <w:szCs w:val="24"/>
        </w:rPr>
      </w:pPr>
      <w:r>
        <w:rPr>
          <w:rFonts w:hint="eastAsia" w:ascii="楷体" w:hAnsi="楷体" w:eastAsia="楷体"/>
          <w:sz w:val="24"/>
          <w:szCs w:val="24"/>
        </w:rPr>
        <w:t>8月12日，Si2411主力合约延续下行走势，收盘价9630元/吨，较上一收盘价涨跌幅-2.21%。近期，期货价格持续大幅下跌，存在期现商降价出货，但下游采购需求并无明显放量，同时供应整体依旧维持高位，使得市场看空情绪较为浓厚，若后续主产区无明显减产操作，盘面仍有进一步下跌风险。策略上，考虑盘面估值处于相对低位，建议谨慎追空，前期若有空单可阶段性逐步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6148"/>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638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汽车产销数据略不及预期 天胶涨幅收窄</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胶主力合约偏强震荡。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略令人堪忧，因整体需求偏弱，后期不排除个别企业会出现生产降速的可能性。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3983"/>
      <w:r>
        <w:rPr>
          <w:rFonts w:hint="eastAsia" w:ascii="Times New Roman" w:hAnsi="Times New Roman" w:eastAsia="楷体"/>
          <w:b/>
          <w:color w:val="000000" w:themeColor="text1"/>
          <w:sz w:val="24"/>
          <w:szCs w:val="24"/>
          <w14:textFill>
            <w14:solidFill>
              <w14:schemeClr w14:val="tx1"/>
            </w14:solidFill>
          </w14:textFill>
        </w:rPr>
        <w:t>聚烯烃：需求仍处淡季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1750"/>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累库收窄但现货疲弱，期价弱势下探</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昨夜盘主力合约2409下探，收于1277元/吨。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现货方面，现货方面，浮法玻璃华北玻璃大板维持低位至1390元/吨、河北沙河大板现货降至1288元/吨，稳步下行。库存方面，库存方面，玻璃在产企业总库存为6735.62万重量箱，环比上周下降173.38万重量箱。</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0078"/>
      <w:r>
        <w:rPr>
          <w:rFonts w:hint="eastAsia" w:ascii="Times New Roman" w:hAnsi="Times New Roman" w:eastAsia="楷体"/>
          <w:b/>
          <w:color w:val="000000" w:themeColor="text1"/>
          <w:sz w:val="24"/>
          <w:szCs w:val="24"/>
          <w14:textFill>
            <w14:solidFill>
              <w14:schemeClr w14:val="tx1"/>
            </w14:solidFill>
          </w14:textFill>
        </w:rPr>
        <w:t>纯碱：供应缩减无助支撑期价走弱，仍需时间等待供需平衡点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昨夜盘纯碱主力合约弱震荡收盘于1671元/吨。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89.62%，环比下降0.45pct。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7135"/>
      <w:r>
        <w:rPr>
          <w:rFonts w:hint="eastAsia" w:ascii="Times New Roman" w:hAnsi="Times New Roman" w:eastAsia="楷体"/>
          <w:b/>
          <w:color w:val="000000" w:themeColor="text1"/>
          <w:sz w:val="24"/>
          <w:szCs w:val="24"/>
          <w14:textFill>
            <w14:solidFill>
              <w14:schemeClr w14:val="tx1"/>
            </w14:solidFill>
          </w14:textFill>
        </w:rPr>
        <w:t>PTA：成本弱势及供需疲软共振 PTA承压下行</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综合来看，原油短期跌势有望延续及PX供应充裕下，成本端驱动偏空。装置检修回归且后期PTA检修计划偏少，阶段性下游订单不足，涤丝工厂库存压力较大，聚酯负荷低位维持，高温下终端开工率继续下滑，8月份PTA静态供需依旧过剩且受制于宏观方面衰退风险，PTA暂维持承压下行弱势探底。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0350"/>
      <w:r>
        <w:rPr>
          <w:rFonts w:hint="eastAsia" w:ascii="Times New Roman" w:hAnsi="Times New Roman" w:eastAsia="楷体"/>
          <w:b/>
          <w:color w:val="000000" w:themeColor="text1"/>
          <w:sz w:val="24"/>
          <w:szCs w:val="24"/>
          <w14:textFill>
            <w14:solidFill>
              <w14:schemeClr w14:val="tx1"/>
            </w14:solidFill>
          </w14:textFill>
        </w:rPr>
        <w:t>乙二醇：终端负反馈 期价弱势探底</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乙二醇开工与库存延续回升，同时聚酯终端开工持续下滑，低库存及弱需求博弈，短线受成本及需求疲软期价弱势下行。仅供参考。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7931"/>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812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现货弱势拖累期价表现</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考虑到近月合约期价跌至南方港口现货倒推至大连平舱价水平，远月合约亦跌至新作种植成本、国家玉米和小麦增储价格折算的大连平舱价附近，可以理解为旧作去库压力已经得以释放，并已在很大程度上反映新作上市压力，循着市场下跌/看空的逻辑，接下来旧作合约需要关注现货能否止跌反弹，新作合约则更多关注新作产量前景，此外，还需要特别留意新陈转换之际会否出现供应断档的可能性。综上所述，我们维持谨慎看多观点，建议谨慎投资者观望，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或逐步转向利多，其中副产品端因外盘美豆带动国内蛋白粕继续弱势，这使得行业现货生产利润恶化；行业供需端随近期行业库存持续累积，但随着期价反弹，下游或阶段性补库；最重要的是，原料成本端有望因利空持续释放而转向，再加上淀粉现货基差高企，而盘面生产利润为负，淀粉-玉米价差或迎来做扩机会。综上所述，我们维持谨慎看多观点，建议谨慎投资者观望或介入做扩淀粉-玉米价差，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873"/>
      <w:r>
        <w:rPr>
          <w:rFonts w:hint="eastAsia" w:ascii="楷体" w:hAnsi="楷体" w:eastAsia="楷体"/>
          <w:b/>
          <w:bCs/>
          <w:color w:val="000000" w:themeColor="text1"/>
          <w14:textFill>
            <w14:solidFill>
              <w14:schemeClr w14:val="tx1"/>
            </w14:solidFill>
          </w14:textFill>
        </w:rPr>
        <w:t>畜禽养殖：生猪期价多有上涨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不断创出新高，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9482"/>
      <w:r>
        <w:rPr>
          <w:rFonts w:hint="eastAsia" w:ascii="楷体" w:hAnsi="楷体" w:eastAsia="楷体"/>
          <w:b/>
          <w:bCs/>
          <w:color w:val="000000" w:themeColor="text1"/>
          <w14:textFill>
            <w14:solidFill>
              <w14:schemeClr w14:val="tx1"/>
            </w14:solidFill>
          </w14:textFill>
        </w:rPr>
        <w:t>白糖：波段式偏弱震荡</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美农报告利空美糖，隔日外盘纽约原糖主力合约和伦敦白砂糖主力合约分别下跌1.08%和1.29%。美国农业部周一公布的8月供需报告显示，美国2024/25年度糖库存／使用比预估为15.9%,7月预估为13.5%。美国2023/24年度糖库存／使用比预估为16.1%,7月预估为15.6%。国内，白糖主力移仓换月，01合约跌涨0.07%。新季存在丰产压制，但基差过大，白糖弱势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255"/>
      <w:r>
        <w:rPr>
          <w:rFonts w:hint="eastAsia" w:ascii="楷体" w:hAnsi="楷体" w:eastAsia="楷体"/>
          <w:b/>
          <w:bCs/>
          <w:color w:val="000000" w:themeColor="text1"/>
          <w14:textFill>
            <w14:solidFill>
              <w14:schemeClr w14:val="tx1"/>
            </w14:solidFill>
          </w14:textFill>
        </w:rPr>
        <w:t>棉花：预计郑棉区间震荡整理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美农报告利多，隔夜外盘ICE美棉主力上涨0.89%。美国农业部（ USDA )周一公布的供需报告下调了2024/25年度美国和印度的产量，国际总产下调55.60万吨。24/25年度中国消费下调，叠加其他变化，国际总消费降低21.40万吨。期末库存因此减少。国内，郑棉移仓换月，主力2401主力合约下跌0.04%。市场当前主要交易衰退逻辑，下游“旺季不旺”预期也占据上风，放高温假的纺织企业增多，开机率不断降低。但大跌后风险已多数释放，预计郑棉震荡整理。</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5972"/>
      <w:r>
        <w:rPr>
          <w:rFonts w:hint="eastAsia" w:ascii="楷体" w:hAnsi="楷体" w:eastAsia="楷体"/>
          <w:b/>
          <w:bCs/>
          <w:color w:val="000000" w:themeColor="text1"/>
          <w14:textFill>
            <w14:solidFill>
              <w14:schemeClr w14:val="tx1"/>
            </w14:solidFill>
          </w14:textFill>
        </w:rPr>
        <w:t>蛋白粕：美豆最新数据超预期，再度下挫</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USDA公布美豆最新数据，预估2024/25大豆产量上调至45.89亿蒲式耳。8月期末库存预期为5.6亿蒲式耳，单产预期为53.2蒲式耳/英亩，均高于市场预期。此消息一出，美豆期价破位下跌1.45%，收盘价988美分/磅。菜籽方面，2023/24年度加菜籽出口685.93万吨，同比减少15.3%。国内豆粕压力同样较大，近期库存创新高，贸易商多存在胀库问题，而油厂催提、饲料厂提货缓慢更使得贸易商库存压力巨大。菜籽供应充足，但目前饲料配方菜粕占比较小，豆菜粕价差未超过800时，饲料厂很少使用菜粕，在此背景下预计菜粕仍将以偏弱运行为主。</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368"/>
      <w:r>
        <w:rPr>
          <w:rFonts w:hint="eastAsia" w:ascii="楷体" w:hAnsi="楷体" w:eastAsia="楷体"/>
          <w:b/>
          <w:bCs/>
          <w:color w:val="000000" w:themeColor="text1"/>
          <w14:textFill>
            <w14:solidFill>
              <w14:schemeClr w14:val="tx1"/>
            </w14:solidFill>
          </w14:textFill>
        </w:rPr>
        <w:t>油脂类：受美豆丰产影响外盘下跌，短期依旧偏弱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USDA公布最新数据后，CBOT豆系品种联袂下挫2%左右。由于大豆供应持续充裕，国内油厂开机率高，豆油供给预计保持宽松直至三季度末。消费端由于整体消费环境的持续转差，油脂整体表现疲弱。棕榈油方面，马棕油出口强劲，印度采购为期价提供支撑。后续马棕油将维持供应偏紧格局，长线来看期价将反弹上涨。截至2024年8月9日当周，全国重点地区豆油、棕榈油、菜油三大油脂商业库存总量为211.205万吨，较上周减少1.475万吨，减幅0.69%;同比2023年第32周三大油脂商业库存203.64万吨，增加4.57万吨，增幅2.21%。尽管库存同比增加，但环比减少，市场情况逐渐好转，长期来看有反弹的可能。</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22739"/>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22344"/>
      <w:r>
        <w:rPr>
          <w:rFonts w:hint="eastAsia" w:ascii="Times New Roman" w:hAnsi="Times New Roman" w:eastAsia="楷体"/>
          <w:b/>
          <w:color w:val="000000" w:themeColor="text1"/>
          <w:sz w:val="24"/>
          <w:szCs w:val="24"/>
          <w14:textFill>
            <w14:solidFill>
              <w14:schemeClr w14:val="tx1"/>
            </w14:solidFill>
          </w14:textFill>
        </w:rPr>
        <w:t>集运指数（欧线）：宏观承压数据走弱，期市悲观情绪显现</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即期运价走势：8月5日，SCFIS欧线指数为6160.75点与上期相比跌1.0%。8月9日，SCFI上海港出口至欧洲基本港市场运价（海运及海运附加费）为4786美元/TEU，较上期下跌2.5%。</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7月份欧洲和美国的经济数据超预期走弱，全球补库的动能持续衰竭。欧元区7月综合PMI为50.1，低于前置及市场的预期。欧元区制造业PMI录得45.8%。制造业订单继续表现疲软，未来欧洲经济的复苏前景并不乐观。</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总体来看，现货回落预期再起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2481108"/>
      <w:bookmarkStart w:id="44" w:name="_Toc12779"/>
      <w:bookmarkStart w:id="45" w:name="_Toc98426751"/>
      <w:bookmarkStart w:id="46" w:name="_Toc71212556"/>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2024年8月13日星期二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2024-08-13T01:59:48Z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