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8" w:name="_GoBack"/>
          <w:bookmarkEnd w:id="48"/>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_Toc32743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_Toc14517 </w:instrText>
          </w:r>
          <w:r>
            <w:rPr>
              <w:bCs/>
            </w:rPr>
            <w:fldChar w:fldCharType="separate"/>
          </w:r>
          <w:r>
            <w:rPr>
              <w:rFonts w:hint="eastAsia" w:ascii="Times New Roman" w:hAnsi="Times New Roman" w:eastAsia="楷体"/>
              <w:szCs w:val="24"/>
            </w:rPr>
            <w:t>股指：维持弱市震荡观点</w:t>
          </w:r>
          <w:r>
            <w:rPr>
              <w:bCs/>
            </w:rPr>
            <w:fldChar w:fldCharType="end"/>
          </w:r>
        </w:p>
        <w:p>
          <w:pPr>
            <w:pStyle w:val="59"/>
            <w:tabs>
              <w:tab w:val="right" w:leader="dot" w:pos="8306"/>
            </w:tabs>
          </w:pPr>
          <w:r>
            <w:rPr>
              <w:bCs/>
            </w:rPr>
            <w:fldChar w:fldCharType="begin"/>
          </w:r>
          <w:r>
            <w:rPr>
              <w:bCs/>
            </w:rPr>
            <w:instrText xml:space="preserve"> HYPERLINK \l _Toc22827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_Toc19291 </w:instrText>
          </w:r>
          <w:r>
            <w:rPr>
              <w:bCs/>
            </w:rPr>
            <w:fldChar w:fldCharType="separate"/>
          </w:r>
          <w:r>
            <w:rPr>
              <w:rFonts w:hint="eastAsia" w:ascii="Times New Roman" w:hAnsi="Times New Roman" w:eastAsia="楷体"/>
              <w:szCs w:val="24"/>
            </w:rPr>
            <w:t>贵金属：美国7月CPI同比回落，贵金属价格下跌</w:t>
          </w:r>
          <w:r>
            <w:rPr>
              <w:bCs/>
            </w:rPr>
            <w:fldChar w:fldCharType="end"/>
          </w:r>
        </w:p>
        <w:p>
          <w:pPr>
            <w:pStyle w:val="59"/>
            <w:tabs>
              <w:tab w:val="right" w:leader="dot" w:pos="8306"/>
            </w:tabs>
          </w:pPr>
          <w:r>
            <w:rPr>
              <w:bCs/>
            </w:rPr>
            <w:fldChar w:fldCharType="begin"/>
          </w:r>
          <w:r>
            <w:rPr>
              <w:bCs/>
            </w:rPr>
            <w:instrText xml:space="preserve"> HYPERLINK \l _Toc7557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_Toc648 </w:instrText>
          </w:r>
          <w:r>
            <w:rPr>
              <w:bCs/>
            </w:rPr>
            <w:fldChar w:fldCharType="separate"/>
          </w:r>
          <w:r>
            <w:rPr>
              <w:rFonts w:hint="eastAsia" w:ascii="楷体" w:hAnsi="楷体" w:eastAsia="楷体"/>
              <w:szCs w:val="24"/>
            </w:rPr>
            <w:t>碳酸锂：盘面情绪悲观，期价下跌续创新低</w:t>
          </w:r>
          <w:r>
            <w:rPr>
              <w:bCs/>
            </w:rPr>
            <w:fldChar w:fldCharType="end"/>
          </w:r>
        </w:p>
        <w:p>
          <w:pPr>
            <w:pStyle w:val="74"/>
            <w:tabs>
              <w:tab w:val="right" w:leader="dot" w:pos="8306"/>
            </w:tabs>
          </w:pPr>
          <w:r>
            <w:rPr>
              <w:bCs/>
            </w:rPr>
            <w:fldChar w:fldCharType="begin"/>
          </w:r>
          <w:r>
            <w:rPr>
              <w:bCs/>
            </w:rPr>
            <w:instrText xml:space="preserve"> HYPERLINK \l _Toc32742 </w:instrText>
          </w:r>
          <w:r>
            <w:rPr>
              <w:bCs/>
            </w:rPr>
            <w:fldChar w:fldCharType="separate"/>
          </w:r>
          <w:r>
            <w:rPr>
              <w:rFonts w:hint="eastAsia" w:ascii="楷体" w:hAnsi="楷体" w:eastAsia="楷体"/>
              <w:szCs w:val="24"/>
            </w:rPr>
            <w:t>铝：维持低位震荡盘整</w:t>
          </w:r>
          <w:r>
            <w:rPr>
              <w:bCs/>
            </w:rPr>
            <w:fldChar w:fldCharType="end"/>
          </w:r>
        </w:p>
        <w:p>
          <w:pPr>
            <w:pStyle w:val="74"/>
            <w:tabs>
              <w:tab w:val="right" w:leader="dot" w:pos="8306"/>
            </w:tabs>
          </w:pPr>
          <w:r>
            <w:rPr>
              <w:bCs/>
            </w:rPr>
            <w:fldChar w:fldCharType="begin"/>
          </w:r>
          <w:r>
            <w:rPr>
              <w:bCs/>
            </w:rPr>
            <w:instrText xml:space="preserve"> HYPERLINK \l _Toc1479 </w:instrText>
          </w:r>
          <w:r>
            <w:rPr>
              <w:bCs/>
            </w:rPr>
            <w:fldChar w:fldCharType="separate"/>
          </w:r>
          <w:r>
            <w:rPr>
              <w:rFonts w:hint="eastAsia" w:ascii="楷体" w:hAnsi="楷体" w:eastAsia="楷体"/>
              <w:szCs w:val="24"/>
            </w:rPr>
            <w:t>锌：上下有限区间震荡</w:t>
          </w:r>
          <w:r>
            <w:rPr>
              <w:bCs/>
            </w:rPr>
            <w:fldChar w:fldCharType="end"/>
          </w:r>
        </w:p>
        <w:p>
          <w:pPr>
            <w:pStyle w:val="74"/>
            <w:tabs>
              <w:tab w:val="right" w:leader="dot" w:pos="8306"/>
            </w:tabs>
          </w:pPr>
          <w:r>
            <w:rPr>
              <w:bCs/>
            </w:rPr>
            <w:fldChar w:fldCharType="begin"/>
          </w:r>
          <w:r>
            <w:rPr>
              <w:bCs/>
            </w:rPr>
            <w:instrText xml:space="preserve"> HYPERLINK \l _Toc12453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：延续震荡整理</w:t>
          </w:r>
          <w:r>
            <w:rPr>
              <w:bCs/>
            </w:rPr>
            <w:fldChar w:fldCharType="end"/>
          </w:r>
        </w:p>
        <w:p>
          <w:pPr>
            <w:pStyle w:val="74"/>
            <w:tabs>
              <w:tab w:val="right" w:leader="dot" w:pos="8306"/>
            </w:tabs>
          </w:pPr>
          <w:r>
            <w:rPr>
              <w:bCs/>
            </w:rPr>
            <w:fldChar w:fldCharType="begin"/>
          </w:r>
          <w:r>
            <w:rPr>
              <w:bCs/>
            </w:rPr>
            <w:instrText xml:space="preserve"> HYPERLINK \l _Toc5948 </w:instrText>
          </w:r>
          <w:r>
            <w:rPr>
              <w:bCs/>
            </w:rPr>
            <w:fldChar w:fldCharType="separate"/>
          </w:r>
          <w:r>
            <w:rPr>
              <w:rFonts w:hint="eastAsia" w:ascii="楷体" w:hAnsi="楷体" w:eastAsia="楷体"/>
              <w:szCs w:val="24"/>
            </w:rPr>
            <w:t>镍：基本面缺乏驱动，跟随宏观震荡</w:t>
          </w:r>
          <w:r>
            <w:rPr>
              <w:bCs/>
            </w:rPr>
            <w:fldChar w:fldCharType="end"/>
          </w:r>
        </w:p>
        <w:p>
          <w:pPr>
            <w:pStyle w:val="74"/>
            <w:tabs>
              <w:tab w:val="right" w:leader="dot" w:pos="8306"/>
            </w:tabs>
          </w:pPr>
          <w:r>
            <w:rPr>
              <w:bCs/>
            </w:rPr>
            <w:fldChar w:fldCharType="begin"/>
          </w:r>
          <w:r>
            <w:rPr>
              <w:bCs/>
            </w:rPr>
            <w:instrText xml:space="preserve"> HYPERLINK \l _Toc6098 </w:instrText>
          </w:r>
          <w:r>
            <w:rPr>
              <w:bCs/>
            </w:rPr>
            <w:fldChar w:fldCharType="separate"/>
          </w:r>
          <w:r>
            <w:rPr>
              <w:rFonts w:hint="eastAsia" w:ascii="楷体" w:hAnsi="楷体" w:eastAsia="楷体"/>
              <w:szCs w:val="24"/>
            </w:rPr>
            <w:t>不锈钢：需求疲弱及库存高位，期价缺乏向上驱动</w:t>
          </w:r>
          <w:r>
            <w:rPr>
              <w:bCs/>
            </w:rPr>
            <w:fldChar w:fldCharType="end"/>
          </w:r>
        </w:p>
        <w:p>
          <w:pPr>
            <w:pStyle w:val="74"/>
            <w:tabs>
              <w:tab w:val="right" w:leader="dot" w:pos="8306"/>
            </w:tabs>
          </w:pPr>
          <w:r>
            <w:rPr>
              <w:bCs/>
            </w:rPr>
            <w:fldChar w:fldCharType="begin"/>
          </w:r>
          <w:r>
            <w:rPr>
              <w:bCs/>
            </w:rPr>
            <w:instrText xml:space="preserve"> HYPERLINK \l _Toc31535 </w:instrText>
          </w:r>
          <w:r>
            <w:rPr>
              <w:bCs/>
            </w:rPr>
            <w:fldChar w:fldCharType="separate"/>
          </w:r>
          <w:r>
            <w:rPr>
              <w:rFonts w:hint="eastAsia" w:ascii="楷体" w:hAnsi="楷体" w:eastAsia="楷体"/>
              <w:szCs w:val="24"/>
            </w:rPr>
            <w:t>工业硅：市场看空情绪浓厚，或仍有下跌风险</w:t>
          </w:r>
          <w:r>
            <w:rPr>
              <w:bCs/>
            </w:rPr>
            <w:fldChar w:fldCharType="end"/>
          </w:r>
        </w:p>
        <w:p>
          <w:pPr>
            <w:pStyle w:val="59"/>
            <w:tabs>
              <w:tab w:val="right" w:leader="dot" w:pos="8306"/>
            </w:tabs>
          </w:pPr>
          <w:r>
            <w:rPr>
              <w:bCs/>
            </w:rPr>
            <w:fldChar w:fldCharType="begin"/>
          </w:r>
          <w:r>
            <w:rPr>
              <w:bCs/>
            </w:rPr>
            <w:instrText xml:space="preserve"> HYPERLINK \l _Toc23337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_Toc12472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原料价格涨跌互现 天胶震荡运行</w:t>
          </w:r>
          <w:r>
            <w:rPr>
              <w:bCs/>
            </w:rPr>
            <w:fldChar w:fldCharType="end"/>
          </w:r>
        </w:p>
        <w:p>
          <w:pPr>
            <w:pStyle w:val="74"/>
            <w:tabs>
              <w:tab w:val="right" w:leader="dot" w:pos="8306"/>
            </w:tabs>
          </w:pPr>
          <w:r>
            <w:rPr>
              <w:bCs/>
            </w:rPr>
            <w:fldChar w:fldCharType="begin"/>
          </w:r>
          <w:r>
            <w:rPr>
              <w:bCs/>
            </w:rPr>
            <w:instrText xml:space="preserve"> HYPERLINK \l _Toc21638 </w:instrText>
          </w:r>
          <w:r>
            <w:rPr>
              <w:bCs/>
            </w:rPr>
            <w:fldChar w:fldCharType="separate"/>
          </w:r>
          <w:r>
            <w:rPr>
              <w:rFonts w:hint="eastAsia" w:ascii="Times New Roman" w:hAnsi="Times New Roman" w:eastAsia="楷体"/>
              <w:szCs w:val="24"/>
            </w:rPr>
            <w:t>聚烯烃：需求仍处淡季 聚烯烃跟随原油价格走势为主</w:t>
          </w:r>
          <w:r>
            <w:rPr>
              <w:bCs/>
            </w:rPr>
            <w:fldChar w:fldCharType="end"/>
          </w:r>
        </w:p>
        <w:p>
          <w:pPr>
            <w:pStyle w:val="74"/>
            <w:tabs>
              <w:tab w:val="right" w:leader="dot" w:pos="8306"/>
            </w:tabs>
          </w:pPr>
          <w:r>
            <w:rPr>
              <w:bCs/>
            </w:rPr>
            <w:fldChar w:fldCharType="begin"/>
          </w:r>
          <w:r>
            <w:rPr>
              <w:bCs/>
            </w:rPr>
            <w:instrText xml:space="preserve"> HYPERLINK \l _Toc11485 </w:instrText>
          </w:r>
          <w:r>
            <w:rPr>
              <w:bCs/>
            </w:rPr>
            <w:fldChar w:fldCharType="separate"/>
          </w:r>
          <w:r>
            <w:rPr>
              <w:rFonts w:hint="eastAsia" w:ascii="Times New Roman" w:hAnsi="Times New Roman" w:eastAsia="楷体"/>
              <w:szCs w:val="24"/>
            </w:rPr>
            <w:t>玻璃:</w:t>
          </w:r>
          <w:r>
            <w:rPr>
              <w:rFonts w:hint="eastAsia" w:ascii="Times New Roman" w:hAnsi="Times New Roman" w:eastAsia="楷体"/>
              <w:szCs w:val="24"/>
              <w:lang w:val="en-US" w:eastAsia="zh-CN"/>
            </w:rPr>
            <w:t xml:space="preserve"> </w:t>
          </w:r>
          <w:r>
            <w:rPr>
              <w:rFonts w:hint="eastAsia" w:ascii="Times New Roman" w:hAnsi="Times New Roman" w:eastAsia="楷体"/>
              <w:szCs w:val="24"/>
            </w:rPr>
            <w:t>累库收窄但现货疲弱，期价弱势下探</w:t>
          </w:r>
          <w:r>
            <w:rPr>
              <w:bCs/>
            </w:rPr>
            <w:fldChar w:fldCharType="end"/>
          </w:r>
        </w:p>
        <w:p>
          <w:pPr>
            <w:pStyle w:val="74"/>
            <w:tabs>
              <w:tab w:val="right" w:leader="dot" w:pos="8306"/>
            </w:tabs>
          </w:pPr>
          <w:r>
            <w:rPr>
              <w:bCs/>
            </w:rPr>
            <w:fldChar w:fldCharType="begin"/>
          </w:r>
          <w:r>
            <w:rPr>
              <w:bCs/>
            </w:rPr>
            <w:instrText xml:space="preserve"> HYPERLINK \l _Toc1287 </w:instrText>
          </w:r>
          <w:r>
            <w:rPr>
              <w:bCs/>
            </w:rPr>
            <w:fldChar w:fldCharType="separate"/>
          </w:r>
          <w:r>
            <w:rPr>
              <w:rFonts w:hint="eastAsia" w:ascii="Times New Roman" w:hAnsi="Times New Roman" w:eastAsia="楷体"/>
              <w:szCs w:val="24"/>
            </w:rPr>
            <w:t>纯碱：供应缩减无助支撑期价走弱，仍需时间等待供需平衡点</w:t>
          </w:r>
          <w:r>
            <w:rPr>
              <w:bCs/>
            </w:rPr>
            <w:fldChar w:fldCharType="end"/>
          </w:r>
        </w:p>
        <w:p>
          <w:pPr>
            <w:pStyle w:val="74"/>
            <w:tabs>
              <w:tab w:val="right" w:leader="dot" w:pos="8306"/>
            </w:tabs>
          </w:pPr>
          <w:r>
            <w:rPr>
              <w:bCs/>
            </w:rPr>
            <w:fldChar w:fldCharType="begin"/>
          </w:r>
          <w:r>
            <w:rPr>
              <w:bCs/>
            </w:rPr>
            <w:instrText xml:space="preserve"> HYPERLINK \l _Toc5035 </w:instrText>
          </w:r>
          <w:r>
            <w:rPr>
              <w:bCs/>
            </w:rPr>
            <w:fldChar w:fldCharType="separate"/>
          </w:r>
          <w:r>
            <w:rPr>
              <w:rFonts w:hint="eastAsia" w:ascii="Times New Roman" w:hAnsi="Times New Roman" w:eastAsia="楷体"/>
              <w:szCs w:val="24"/>
            </w:rPr>
            <w:t>PTA：成本及供需驱动不足 PTA上方承压</w:t>
          </w:r>
          <w:r>
            <w:rPr>
              <w:bCs/>
            </w:rPr>
            <w:fldChar w:fldCharType="end"/>
          </w:r>
        </w:p>
        <w:p>
          <w:pPr>
            <w:pStyle w:val="74"/>
            <w:tabs>
              <w:tab w:val="right" w:leader="dot" w:pos="8306"/>
            </w:tabs>
          </w:pPr>
          <w:r>
            <w:rPr>
              <w:bCs/>
            </w:rPr>
            <w:fldChar w:fldCharType="begin"/>
          </w:r>
          <w:r>
            <w:rPr>
              <w:bCs/>
            </w:rPr>
            <w:instrText xml:space="preserve"> HYPERLINK \l _Toc12871 </w:instrText>
          </w:r>
          <w:r>
            <w:rPr>
              <w:bCs/>
            </w:rPr>
            <w:fldChar w:fldCharType="separate"/>
          </w:r>
          <w:r>
            <w:rPr>
              <w:rFonts w:hint="eastAsia" w:ascii="Times New Roman" w:hAnsi="Times New Roman" w:eastAsia="楷体"/>
              <w:szCs w:val="24"/>
            </w:rPr>
            <w:t>乙二醇：供需格局短期内变化有限，市场涨跌趋势难有形成</w:t>
          </w:r>
          <w:r>
            <w:rPr>
              <w:bCs/>
            </w:rPr>
            <w:fldChar w:fldCharType="end"/>
          </w:r>
        </w:p>
        <w:p>
          <w:pPr>
            <w:pStyle w:val="59"/>
            <w:tabs>
              <w:tab w:val="right" w:leader="dot" w:pos="8306"/>
            </w:tabs>
          </w:pPr>
          <w:r>
            <w:rPr>
              <w:bCs/>
            </w:rPr>
            <w:fldChar w:fldCharType="begin"/>
          </w:r>
          <w:r>
            <w:rPr>
              <w:bCs/>
            </w:rPr>
            <w:instrText xml:space="preserve"> HYPERLINK \l _Toc1808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_Toc1613 </w:instrText>
          </w:r>
          <w:r>
            <w:rPr>
              <w:bCs/>
            </w:rPr>
            <w:fldChar w:fldCharType="separate"/>
          </w:r>
          <w:r>
            <w:rPr>
              <w:rFonts w:hint="eastAsia" w:ascii="楷体" w:hAnsi="楷体" w:eastAsia="楷体"/>
              <w:bCs/>
            </w:rPr>
            <w:t>玉米与淀粉：</w:t>
          </w:r>
          <w:r>
            <w:rPr>
              <w:rFonts w:hint="eastAsia" w:ascii="楷体" w:hAnsi="楷体" w:eastAsia="楷体"/>
            </w:rPr>
            <w:t>期价夜盘小幅反弹</w:t>
          </w:r>
          <w:r>
            <w:rPr>
              <w:bCs/>
            </w:rPr>
            <w:fldChar w:fldCharType="end"/>
          </w:r>
        </w:p>
        <w:p>
          <w:pPr>
            <w:pStyle w:val="74"/>
            <w:tabs>
              <w:tab w:val="right" w:leader="dot" w:pos="8306"/>
            </w:tabs>
          </w:pPr>
          <w:r>
            <w:rPr>
              <w:bCs/>
            </w:rPr>
            <w:fldChar w:fldCharType="begin"/>
          </w:r>
          <w:r>
            <w:rPr>
              <w:bCs/>
            </w:rPr>
            <w:instrText xml:space="preserve"> HYPERLINK \l _Toc8573 </w:instrText>
          </w:r>
          <w:r>
            <w:rPr>
              <w:bCs/>
            </w:rPr>
            <w:fldChar w:fldCharType="separate"/>
          </w:r>
          <w:r>
            <w:rPr>
              <w:rFonts w:hint="eastAsia" w:ascii="楷体" w:hAnsi="楷体" w:eastAsia="楷体"/>
              <w:bCs/>
            </w:rPr>
            <w:t>畜禽养殖：生猪现货带动期价继续上涨</w:t>
          </w:r>
          <w:r>
            <w:rPr>
              <w:bCs/>
            </w:rPr>
            <w:fldChar w:fldCharType="end"/>
          </w:r>
        </w:p>
        <w:p>
          <w:pPr>
            <w:pStyle w:val="74"/>
            <w:tabs>
              <w:tab w:val="right" w:leader="dot" w:pos="8306"/>
            </w:tabs>
          </w:pPr>
          <w:r>
            <w:rPr>
              <w:bCs/>
            </w:rPr>
            <w:fldChar w:fldCharType="begin"/>
          </w:r>
          <w:r>
            <w:rPr>
              <w:bCs/>
            </w:rPr>
            <w:instrText xml:space="preserve"> HYPERLINK \l _Toc4139 </w:instrText>
          </w:r>
          <w:r>
            <w:rPr>
              <w:bCs/>
            </w:rPr>
            <w:fldChar w:fldCharType="separate"/>
          </w:r>
          <w:r>
            <w:rPr>
              <w:rFonts w:hint="eastAsia" w:ascii="楷体" w:hAnsi="楷体" w:eastAsia="楷体"/>
              <w:bCs/>
            </w:rPr>
            <w:t>白糖：波段式偏弱震荡</w:t>
          </w:r>
          <w:r>
            <w:rPr>
              <w:bCs/>
            </w:rPr>
            <w:fldChar w:fldCharType="end"/>
          </w:r>
        </w:p>
        <w:p>
          <w:pPr>
            <w:pStyle w:val="74"/>
            <w:tabs>
              <w:tab w:val="right" w:leader="dot" w:pos="8306"/>
            </w:tabs>
          </w:pPr>
          <w:r>
            <w:rPr>
              <w:bCs/>
            </w:rPr>
            <w:fldChar w:fldCharType="begin"/>
          </w:r>
          <w:r>
            <w:rPr>
              <w:bCs/>
            </w:rPr>
            <w:instrText xml:space="preserve"> HYPERLINK \l _Toc8854 </w:instrText>
          </w:r>
          <w:r>
            <w:rPr>
              <w:bCs/>
            </w:rPr>
            <w:fldChar w:fldCharType="separate"/>
          </w:r>
          <w:r>
            <w:rPr>
              <w:rFonts w:hint="eastAsia" w:ascii="楷体" w:hAnsi="楷体" w:eastAsia="楷体"/>
              <w:bCs/>
            </w:rPr>
            <w:t>棉花：预计郑棉走势偏弱</w:t>
          </w:r>
          <w:r>
            <w:rPr>
              <w:bCs/>
            </w:rPr>
            <w:fldChar w:fldCharType="end"/>
          </w:r>
        </w:p>
        <w:p>
          <w:pPr>
            <w:pStyle w:val="74"/>
            <w:tabs>
              <w:tab w:val="right" w:leader="dot" w:pos="8306"/>
            </w:tabs>
          </w:pPr>
          <w:r>
            <w:rPr>
              <w:bCs/>
            </w:rPr>
            <w:fldChar w:fldCharType="begin"/>
          </w:r>
          <w:r>
            <w:rPr>
              <w:bCs/>
            </w:rPr>
            <w:instrText xml:space="preserve"> HYPERLINK \l _Toc12898 </w:instrText>
          </w:r>
          <w:r>
            <w:rPr>
              <w:bCs/>
            </w:rPr>
            <w:fldChar w:fldCharType="separate"/>
          </w:r>
          <w:r>
            <w:rPr>
              <w:rFonts w:hint="eastAsia" w:ascii="楷体" w:hAnsi="楷体" w:eastAsia="楷体"/>
              <w:bCs/>
            </w:rPr>
            <w:t>蛋白粕：超卖后技术性反弹</w:t>
          </w:r>
          <w:r>
            <w:rPr>
              <w:bCs/>
            </w:rPr>
            <w:fldChar w:fldCharType="end"/>
          </w:r>
        </w:p>
        <w:p>
          <w:pPr>
            <w:pStyle w:val="74"/>
            <w:tabs>
              <w:tab w:val="right" w:leader="dot" w:pos="8306"/>
            </w:tabs>
          </w:pPr>
          <w:r>
            <w:rPr>
              <w:bCs/>
            </w:rPr>
            <w:fldChar w:fldCharType="begin"/>
          </w:r>
          <w:r>
            <w:rPr>
              <w:bCs/>
            </w:rPr>
            <w:instrText xml:space="preserve"> HYPERLINK \l _Toc18053 </w:instrText>
          </w:r>
          <w:r>
            <w:rPr>
              <w:bCs/>
            </w:rPr>
            <w:fldChar w:fldCharType="separate"/>
          </w:r>
          <w:r>
            <w:rPr>
              <w:rFonts w:hint="eastAsia" w:ascii="楷体" w:hAnsi="楷体" w:eastAsia="楷体"/>
              <w:bCs/>
            </w:rPr>
            <w:t>油脂类：需求略改善，短期震荡偏弱对待</w:t>
          </w:r>
          <w:r>
            <w:rPr>
              <w:bCs/>
            </w:rPr>
            <w:fldChar w:fldCharType="end"/>
          </w:r>
        </w:p>
        <w:p>
          <w:pPr>
            <w:pStyle w:val="59"/>
            <w:tabs>
              <w:tab w:val="right" w:leader="dot" w:pos="8306"/>
            </w:tabs>
          </w:pPr>
          <w:r>
            <w:rPr>
              <w:bCs/>
            </w:rPr>
            <w:fldChar w:fldCharType="begin"/>
          </w:r>
          <w:r>
            <w:rPr>
              <w:bCs/>
            </w:rPr>
            <w:instrText xml:space="preserve"> HYPERLINK \l _Toc13693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_Toc17565 </w:instrText>
          </w:r>
          <w:r>
            <w:rPr>
              <w:bCs/>
            </w:rPr>
            <w:fldChar w:fldCharType="separate"/>
          </w:r>
          <w:r>
            <w:rPr>
              <w:rFonts w:hint="eastAsia" w:ascii="Times New Roman" w:hAnsi="Times New Roman" w:eastAsia="楷体"/>
              <w:szCs w:val="24"/>
            </w:rPr>
            <w:t>集运指数（欧线）：宏观承压数据走弱，期市悲观情绪显现</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32743"/>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14517"/>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维持弱市震荡观点</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昨日A股窄幅整理，市场量能萎缩严重，上证指数收跌0.14%报2858.2点，市场成交额不足5000亿元。目前，A股仍受困于市场买盘单一，缺乏自发性的买盘形成合力，总量的不足会影响局部上攻持续性，进入8月中下旬后，中报密集披露，在新国九条严监管下，需再次规避微盘和绩差股的风险发酵。中期核心问题在于内需偏弱的环境仍未改观，后续转折的关键，一是政策的落地及效果的乐观外推，在海外宽货币背景下，需观察国内宽货币的跟进力度，国内宽财政执行改善及效果的乐观预期发酵，再者则是海外不确定性的减退。</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2827"/>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19291"/>
      <w:r>
        <w:rPr>
          <w:rFonts w:hint="eastAsia" w:ascii="Times New Roman" w:hAnsi="Times New Roman" w:eastAsia="楷体"/>
          <w:b/>
          <w:color w:val="000000" w:themeColor="text1"/>
          <w:sz w:val="24"/>
          <w:szCs w:val="24"/>
          <w14:textFill>
            <w14:solidFill>
              <w14:schemeClr w14:val="tx1"/>
            </w14:solidFill>
          </w14:textFill>
        </w:rPr>
        <w:t>贵金属：美国7月CPI同比回落，贵金属价格下跌</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跌0.82%至563.50元/克，沪银跌1.43%至7024元/千克。通胀逐步回落，美国7月CPI同比增2.9%，连续第四个月回落，预期值增3%，前值增3%；环比增0.2%，符合预期，前值降0.1%。美国7月核心CPI同比增3.2%，符合预期，前值增3.3%；环比增0.2%，符合预期，前值增0.1%。欧元区第二季度GDP修正值同比增0.6%，第一季度终值增0.4%；环比增0.3%，第一季度终值增0.3%。CME美联储观察模型显示，海外市场预期9月降息25个基点的概率为56.5%，降息50个基点的概率为43.5%。当前距离美联储降息或更近一步，若后续美国经济数据进一步走弱，降息落地或支撑贵金属价格上行，持续留意多头逢低布局机会。</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金属"/>
      <w:bookmarkStart w:id="12" w:name="_Toc3096"/>
      <w:bookmarkStart w:id="13" w:name="_Toc7557"/>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648"/>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碳酸锂：盘面情绪悲观，期价下跌续创新低</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昨日商品受宏观情绪影响多数下跌，叠加盐湖产品拍卖的消息面影响，碳酸锂期价进一步下跌，11合约跌4.17%至73450元/吨，续创新低，现货报价贴水略微收窄至约2000。供应方面，矿石提锂企业有所减停产，长期处于成本倒挂，仍面临成品库存压力。盐湖提锂方面成本优势明显，藏格矿业披露，其上半年平均销售成本4.13万元/吨；蓝科锂业13日拍卖900吨工业级碳酸锂，其中成交共计210吨，成交价7.4万元/吨，其余流拍，或反映行情低迷期间下游谨慎观望。近期上级出台关于加快社会经济全面绿色转型的顶层设计，对于碳酸锂而言，关于科学布局新型储能、大力推广新能源汽车方面的政策支持，中长期角度而言有助于拉动碳酸锂在储能、新能源汽车等领域的需求，但短期影响或相对有限。后续旺季期间供需过剩或缓解，短线期价或偏弱震荡。</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8897"/>
      <w:bookmarkStart w:id="19" w:name="_Toc6247"/>
      <w:bookmarkStart w:id="20" w:name="_Toc32742"/>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维持低位震荡盘整</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CPI同比数据低于预期，通胀进一步走弱，联储9月降息预期下降。铝土矿供应紧张价格高位，氧化铝现货报价坚挺，电解铝成本仍有支撑，中游冶炼开产高位，淡季国内下游需求平淡，金九银十旺季效应待证伪，国内交易所+社会库存铝锭库存累积，铝棒顺畅去库，海外库存保持去库节奏。宏观支撑偏弱，基本面供大于求，铝价上下空间有限，保持低位震荡运行。</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1479"/>
      <w:r>
        <w:rPr>
          <w:rFonts w:hint="eastAsia" w:ascii="楷体" w:hAnsi="楷体" w:eastAsia="楷体"/>
          <w:b/>
          <w:color w:val="000000" w:themeColor="text1"/>
          <w:sz w:val="24"/>
          <w:szCs w:val="24"/>
          <w14:textFill>
            <w14:solidFill>
              <w14:schemeClr w14:val="tx1"/>
            </w14:solidFill>
          </w14:textFill>
        </w:rPr>
        <w:t>锌：上下有限区间震荡</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CPI同比数据表现低于预期，美国通胀持续走弱，联储降息节奏预计拖延。锌矿TC费率持续低迷，冶炼端负利润压力传导，部分地区冶炼厂检修增加，7月精炼锌产量环比下行约计10%，下游企业加工伴随锌价走低有所转好，临近旺季消费有边际修复预期，实际旺季是否能够到来仍待证伪，库存高位持续去化，锌市供应预期发生转变，价格挺立上行，大环境风险偏好较弱，锌价上下空间有限，短期或保持22000-23500区间震荡运行。</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12453"/>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：延续震荡整理</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(1)宏观：美国7月CPI同比2.9%，低于预期与前值的3%。剔除波动较大的食品和能源价格的核心CPI同比3.2%，符合预期3.2%，低于前值3.3%，环比0.2%。</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(2)库存：8月14日，SHFE仓单库存183906吨，减3802吨；LME仓单库存307425吨，增1800吨。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(3)精废价差：8月14日，Mysteel精废价差1591，收窄169。目前价差在合理价差1422之上。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7月核心CPI连续第四个月下降，且为2021年初以来的最低增速，可能进一步为美联储9月降息25基点做好铺垫，市场之前对降息交易相对充分，对短期价格影响有限，全球经济尤其美国的不确定性仍将影响风险偏好，限制价格反弹空间。基本面，全球最大铜矿Escondida（占据全球铜总产量的5%）可能面临罢工，提振短期市场情绪，预计价格仍将维持震荡运行，等待更多指引。</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5948"/>
      <w:r>
        <w:rPr>
          <w:rFonts w:hint="eastAsia" w:ascii="楷体" w:hAnsi="楷体" w:eastAsia="楷体"/>
          <w:b/>
          <w:color w:val="000000" w:themeColor="text1"/>
          <w:sz w:val="24"/>
          <w:szCs w:val="24"/>
          <w14:textFill>
            <w14:solidFill>
              <w14:schemeClr w14:val="tx1"/>
            </w14:solidFill>
          </w14:textFill>
        </w:rPr>
        <w:t>镍：基本面缺乏驱动，跟随宏观震荡</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美国7月通胀数据放缓，然市场可能在衰退和降息两种预期间反复摇摆。镍矿方面，印尼及菲律宾雨季天气使镍矿供应继续受阻，目前印尼镍矿价格居高不下。硫酸镍方面，维持供需双弱，亏损挺价状态下硫酸镍价格预计仍以弱稳为主。供需方面未有明显变化，社库维持累库。综合而言，镍近期供需未发生明显变化，镍矿现实供应偏紧形成底部支撑，预计短期镍价主要跟随宏观情绪反复而区间震荡，主要波动区间可参考124000-134000元/吨。</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6098"/>
      <w:r>
        <w:rPr>
          <w:rFonts w:hint="eastAsia" w:ascii="楷体" w:hAnsi="楷体" w:eastAsia="楷体"/>
          <w:b/>
          <w:color w:val="000000" w:themeColor="text1"/>
          <w:sz w:val="24"/>
          <w:szCs w:val="24"/>
          <w14:textFill>
            <w14:solidFill>
              <w14:schemeClr w14:val="tx1"/>
            </w14:solidFill>
          </w14:textFill>
        </w:rPr>
        <w:t>不锈钢：需求疲弱及库存高位，期价缺乏向上驱动</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美国7月通胀数据放缓，支撑美联储降息预期，但经济衰退可能性下宏观情绪回暖程度有限。镍铁方面，处于上下游博弈状态，印尼镍矿升水居高不下及镍铁供需偏紧为镍铁提供支撑，但钢厂对镍铁采取压价，目前镍铁成交价位于1000元/镍附近。供应方面，钢厂对于金九银十传统消费旺季抱以期待，8月排产具有增量。需求方面，下游成交氛围仍然偏弱，压制价格向上空间。库存方面，仓单库存流入现货市场，而下游成交以低价刚需采购为主，关注今日公布的周库存数据。综合而言，需求未见起色，社库高位累积，对价格形成压制，但原料成本也为期价提供支撑，短期维持震荡观点，关注镍铁价格下行可能性及需求回暖可能性。</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31535"/>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市场看空情绪浓厚，或仍有下跌风险</w:t>
      </w:r>
      <w:bookmarkEnd w:id="25"/>
    </w:p>
    <w:p>
      <w:pPr>
        <w:ind w:left="630" w:leftChars="300"/>
        <w:rPr>
          <w:rFonts w:ascii="楷体" w:hAnsi="楷体" w:eastAsia="楷体"/>
          <w:sz w:val="24"/>
          <w:szCs w:val="24"/>
        </w:rPr>
      </w:pPr>
      <w:r>
        <w:rPr>
          <w:rFonts w:hint="eastAsia" w:ascii="楷体" w:hAnsi="楷体" w:eastAsia="楷体"/>
          <w:sz w:val="24"/>
          <w:szCs w:val="24"/>
        </w:rPr>
        <w:t>8月14日，Si2411主力合约呈大幅下行走势，收盘价9340元/吨，较上一收盘价涨跌幅-3.61%。受盘面大幅下跌，带动现货价格普遍下调，下游采购有所增加，以及贸易商陆续进行囤货，但主产区整体维持高开工，以及新增产能项目投放，供应暂未看到明显收缩，较难扭转宽松格局，在工业品氛围整体较弱环境下，短期或仍有下跌风险。策略上，考虑盘面估值处于相对低位，建议谨慎追空，前期若有空单可阶段性逐步止盈。</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23337"/>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12472"/>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原料价格涨跌互现 天胶震荡运行</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点评：近期天胶主力合约震荡运行。目前看，产区季节性上量预期仍存，但海运问题导致物流环节运输受限，进口胶到港量或不及预期，港口去库状态维持，现货溢价短时难以缓解。需求端来看，下游轮胎企业开工率高位维持，半钢胎在海外出口需求旺盛下，开工率高位持稳，对原料补库积极性提高，提振天胶消费。全钢胎消费则略令人堪忧，因整体需求偏弱，后期不排除个别企业会出现生产降速的可能性。终端汽车方面，8月车企优惠政策延续。根据工信部最新公布的新车上市名录里面可以看到，多家车企的新车型与换代车型将于近期发售，亦将刺激未来汽车销售增长预期。整体看，近期海外原料价格止跌企稳，对胶价底部支撑未出现进一步恶化。中长线来看，全年天然橡胶依旧处于供小于求的供需格局，建议待回调到位后关注逢低做多的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29" w:name="_Toc21638"/>
      <w:r>
        <w:rPr>
          <w:rFonts w:hint="eastAsia" w:ascii="Times New Roman" w:hAnsi="Times New Roman" w:eastAsia="楷体"/>
          <w:b/>
          <w:color w:val="000000" w:themeColor="text1"/>
          <w:sz w:val="24"/>
          <w:szCs w:val="24"/>
          <w14:textFill>
            <w14:solidFill>
              <w14:schemeClr w14:val="tx1"/>
            </w14:solidFill>
          </w14:textFill>
        </w:rPr>
        <w:t>聚烯烃：需求仍处淡季 聚烯烃跟随原油价格走势为主</w:t>
      </w:r>
      <w:bookmarkEnd w:id="29"/>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目前聚烯烃仍处于石化厂检修季节，供应端减量，石化库存中性偏高，开工负荷均处于低位，装置检修损失量较高。但聚烯烃整体下游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6月份聚烯烃供需格局有继续走弱的预期，主要是供应端后期检修装置减少，供应环比增加，下半年还有新装置投产的预期，其中PP表现的更加明显。在基本面表现平平无奇下，聚烯烃价格走势整体跟随成本端原油波动为主。</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0" w:name="_Toc11485"/>
      <w:r>
        <w:rPr>
          <w:rFonts w:hint="eastAsia" w:ascii="Times New Roman" w:hAnsi="Times New Roman" w:eastAsia="楷体"/>
          <w:b/>
          <w:color w:val="000000" w:themeColor="text1"/>
          <w:sz w:val="24"/>
          <w:szCs w:val="24"/>
          <w14:textFill>
            <w14:solidFill>
              <w14:schemeClr w14:val="tx1"/>
            </w14:solidFill>
          </w14:textFill>
        </w:rPr>
        <w:t>玻璃:</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楷体"/>
          <w:b/>
          <w:color w:val="000000" w:themeColor="text1"/>
          <w:sz w:val="24"/>
          <w:szCs w:val="24"/>
          <w14:textFill>
            <w14:solidFill>
              <w14:schemeClr w14:val="tx1"/>
            </w14:solidFill>
          </w14:textFill>
        </w:rPr>
        <w:t>累库收窄但现货疲弱，期价弱势下探</w:t>
      </w:r>
      <w:bookmarkEnd w:id="30"/>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昨夜盘主力合约2409下探，收于1277元/吨。</w:t>
      </w:r>
    </w:p>
    <w:p>
      <w:pPr>
        <w:ind w:left="630" w:leftChars="300"/>
        <w:rPr>
          <w:rFonts w:hint="eastAsia" w:ascii="楷体" w:hAnsi="楷体" w:eastAsia="楷体"/>
          <w:sz w:val="24"/>
          <w:szCs w:val="24"/>
        </w:rPr>
      </w:pPr>
      <w:r>
        <w:rPr>
          <w:rFonts w:hint="eastAsia" w:ascii="楷体" w:hAnsi="楷体" w:eastAsia="楷体"/>
          <w:sz w:val="24"/>
          <w:szCs w:val="24"/>
        </w:rPr>
        <w:t>现货方面，现货方面，浮法玻璃华北玻璃大板维持低位至1390元/吨、河北沙河大板现货降至1288元/吨，稳步下行。库存方面，库存方面，玻璃在产企业总库存为6735.62万重量箱，环比上周下降173.38万重量箱。</w:t>
      </w:r>
    </w:p>
    <w:p>
      <w:pPr>
        <w:ind w:left="630" w:leftChars="300"/>
        <w:rPr>
          <w:rFonts w:hint="eastAsia" w:ascii="楷体" w:hAnsi="楷体" w:eastAsia="楷体"/>
          <w:sz w:val="24"/>
          <w:szCs w:val="24"/>
        </w:rPr>
      </w:pPr>
      <w:r>
        <w:rPr>
          <w:rFonts w:hint="eastAsia" w:ascii="楷体" w:hAnsi="楷体" w:eastAsia="楷体"/>
          <w:sz w:val="24"/>
          <w:szCs w:val="24"/>
        </w:rPr>
        <w:t>总体来看，目前市场情绪较弱，许多厂家以低于成本的价格出货。下游需求不足且处于累库阶段，预计短期玻璃弱势震荡，建议观望。</w:t>
      </w:r>
    </w:p>
    <w:p>
      <w:pPr>
        <w:ind w:left="630" w:leftChars="300"/>
        <w:rPr>
          <w:rFonts w:hint="eastAsia" w:ascii="楷体" w:hAnsi="楷体" w:eastAsia="楷体"/>
          <w:sz w:val="24"/>
          <w:szCs w:val="24"/>
          <w:lang w:val="en-US" w:eastAsia="zh-CN"/>
        </w:rPr>
      </w:pPr>
    </w:p>
    <w:p>
      <w:pPr>
        <w:ind w:firstLine="482" w:firstLineChars="200"/>
        <w:outlineLvl w:val="1"/>
        <w:rPr>
          <w:rFonts w:ascii="楷体" w:hAnsi="楷体" w:eastAsia="楷体"/>
          <w:b/>
          <w:sz w:val="24"/>
          <w:szCs w:val="24"/>
        </w:rPr>
      </w:pPr>
      <w:bookmarkStart w:id="31" w:name="_Toc1287"/>
      <w:r>
        <w:rPr>
          <w:rFonts w:hint="eastAsia" w:ascii="Times New Roman" w:hAnsi="Times New Roman" w:eastAsia="楷体"/>
          <w:b/>
          <w:color w:val="000000" w:themeColor="text1"/>
          <w:sz w:val="24"/>
          <w:szCs w:val="24"/>
          <w14:textFill>
            <w14:solidFill>
              <w14:schemeClr w14:val="tx1"/>
            </w14:solidFill>
          </w14:textFill>
        </w:rPr>
        <w:t>纯碱：供应缩减无助支撑期价走弱，仍需时间等待供需平衡点</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昨夜盘纯碱主力合约弱震荡收盘于1671元/吨。</w:t>
      </w:r>
    </w:p>
    <w:p>
      <w:pPr>
        <w:ind w:left="630" w:leftChars="300"/>
        <w:rPr>
          <w:rFonts w:hint="eastAsia" w:ascii="楷体" w:hAnsi="楷体" w:eastAsia="楷体"/>
          <w:sz w:val="24"/>
          <w:szCs w:val="24"/>
        </w:rPr>
      </w:pPr>
      <w:r>
        <w:rPr>
          <w:rFonts w:hint="eastAsia" w:ascii="楷体" w:hAnsi="楷体" w:eastAsia="楷体"/>
          <w:sz w:val="24"/>
          <w:szCs w:val="24"/>
        </w:rPr>
        <w:t>本周纯碱行业开工约89.62%，环比下降0.45pct。在需求端，玻璃行业等主要下游市场的需求呈现疲软态势。特别是轻碱市场需求明显下滑，出货难度增加。另外楼市尚未出现明显回暖，各线城市房价仍处于环比下降。</w:t>
      </w:r>
    </w:p>
    <w:p>
      <w:pPr>
        <w:ind w:left="630" w:leftChars="300"/>
        <w:rPr>
          <w:rFonts w:hint="eastAsia" w:ascii="楷体" w:hAnsi="楷体" w:eastAsia="楷体"/>
          <w:sz w:val="24"/>
          <w:szCs w:val="24"/>
        </w:rPr>
      </w:pPr>
      <w:r>
        <w:rPr>
          <w:rFonts w:hint="eastAsia" w:ascii="楷体" w:hAnsi="楷体" w:eastAsia="楷体"/>
          <w:sz w:val="24"/>
          <w:szCs w:val="24"/>
        </w:rPr>
        <w:t>目前，供应恢复导致短期预计纯碱现货价格偏弱，纯碱生产成本较低因此盘面上或仍有下探空间，应等待反弹做空机会。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2" w:name="_Toc5035"/>
      <w:r>
        <w:rPr>
          <w:rFonts w:hint="eastAsia" w:ascii="Times New Roman" w:hAnsi="Times New Roman" w:eastAsia="楷体"/>
          <w:b/>
          <w:color w:val="000000" w:themeColor="text1"/>
          <w:sz w:val="24"/>
          <w:szCs w:val="24"/>
          <w14:textFill>
            <w14:solidFill>
              <w14:schemeClr w14:val="tx1"/>
            </w14:solidFill>
          </w14:textFill>
        </w:rPr>
        <w:t>PTA：成本及供需驱动不足 PTA上方承压</w:t>
      </w:r>
      <w:bookmarkEnd w:id="32"/>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综合来看，原油短期跌势有望延续及PX供应充裕下，成本端驱动偏空。装置检修回归且后期PTA检修计划偏少，阶段性下游订单不足，涤丝工厂库存压力较大，聚酯负荷低位维持，高温下终端开工率继续下滑，8月份PTA静态供需依旧过剩且受制于宏观方面衰退风险，PTA暂维持承压下行弱势探底。仅供参考。</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3" w:name="_Toc12871"/>
      <w:r>
        <w:rPr>
          <w:rFonts w:hint="eastAsia" w:ascii="Times New Roman" w:hAnsi="Times New Roman" w:eastAsia="楷体"/>
          <w:b/>
          <w:color w:val="000000" w:themeColor="text1"/>
          <w:sz w:val="24"/>
          <w:szCs w:val="24"/>
          <w14:textFill>
            <w14:solidFill>
              <w14:schemeClr w14:val="tx1"/>
            </w14:solidFill>
          </w14:textFill>
        </w:rPr>
        <w:t>乙二醇：供需格局短期内变化有限，市场涨跌趋势难有形成</w:t>
      </w:r>
      <w:bookmarkEnd w:id="33"/>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sz w:val="24"/>
          <w:szCs w:val="24"/>
        </w:rPr>
        <w:t>国内供应小幅增量，主港库存小幅累积，然聚酯端产销恢复，刚性需求稳定，外围不稳定因素较多市场情绪不稳，短期 国内乙二醇市场弱势震荡为主。仅供参考。</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4" w:name="_Toc1808"/>
      <w:r>
        <w:rPr>
          <w:rFonts w:hint="eastAsia" w:ascii="Times New Roman" w:hAnsi="Times New Roman" w:eastAsia="楷体"/>
          <w:b/>
          <w:color w:val="823C0B"/>
          <w:sz w:val="30"/>
          <w:szCs w:val="30"/>
        </w:rPr>
        <w:t>[农产品]</w:t>
      </w:r>
      <w:bookmarkEnd w:id="14"/>
      <w:bookmarkEnd w:id="34"/>
    </w:p>
    <w:p>
      <w:pPr>
        <w:pStyle w:val="93"/>
        <w:spacing w:before="60" w:beforeAutospacing="0" w:after="60" w:afterAutospacing="0"/>
        <w:ind w:left="420" w:leftChars="200"/>
        <w:outlineLvl w:val="1"/>
        <w:rPr>
          <w:rFonts w:hint="eastAsia" w:ascii="楷体" w:hAnsi="楷体" w:eastAsia="楷体"/>
          <w:b/>
        </w:rPr>
      </w:pPr>
      <w:bookmarkStart w:id="35" w:name="_Toc1613"/>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期价夜盘小幅反弹</w:t>
      </w:r>
      <w:bookmarkEnd w:id="35"/>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对于玉米而言，考虑到近月合约期价跌至南方港口现货倒推至大连平舱价水平，远月合约亦跌至新作种植成本、国家玉米和小麦增储价格折算的大连平舱价附近，可以理解为旧作去库压力已经得以释放，并已在很大程度上反映新作上市压力，循着市场下跌/看空的逻辑，接下来旧作合约需要关注现货能否止跌反弹，新作合约则更多关注新作产量前景，此外，还需要特别留意新陈转换之际会否出现供应断档的可能性。综上所述，我们维持谨慎看多观点，建议谨慎投资者观望，激进投资者可以考虑轻仓入场试多。</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对于淀粉而言，影响淀粉-玉米价差的三方面因素或逐步转向利多，其中副产品端因外盘美豆带动国内蛋白粕继续弱势，这使得行业现货生产利润恶化；行业供需端随近期行业库存持续累积，但随着期价反弹，下游或阶段性补库；最重要的是，原料成本端有望因利空持续释放而转向，再加上淀粉现货基差高企，而盘面生产利润为负，淀粉-玉米价差或迎来做扩机会。综上所述，我们维持谨慎看多观点，建议谨慎投资者观望或介入做扩淀粉-玉米价差，激进投资者可以考虑轻仓入场试多。</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6" w:name="_Toc8573"/>
      <w:r>
        <w:rPr>
          <w:rFonts w:hint="eastAsia" w:ascii="楷体" w:hAnsi="楷体" w:eastAsia="楷体"/>
          <w:b/>
          <w:bCs/>
          <w:color w:val="000000" w:themeColor="text1"/>
          <w14:textFill>
            <w14:solidFill>
              <w14:schemeClr w14:val="tx1"/>
            </w14:solidFill>
          </w14:textFill>
        </w:rPr>
        <w:t>畜禽养殖：生猪现货带动期价继续上涨</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考虑到各家机构数据均显示能繁母猪存栏已经触底回升，而由于仔猪养殖利润高企更早带动配种分娩率的提升，远期特别是明年供需趋于改善已是市场普遍预期，但对于今年下半年生猪供应恢复进度与现货走势节奏依然存在较大分歧。从新生仔猪数量来看，三季度生猪出栏量依然偏低，同比和环比仍有望继续下滑，而四季度生猪出栏则有望环比增加，甚至同比恢复，但需求则季节性改善。其中一个重要变量或在于出栏体重，这取决于市场心态变化和养殖户出栏节奏。在经历六月中旬以来的短暂回落之后，七月以来现货逐步震荡回升，并不断创出新高，这使得市场逐步意识到当前甚至三季度供应端紧张的现实，9月期价在现货基差带动下逐步震荡走强，考虑到标肥价差走弱，而冷冻库容下滑，这一情况有望得到延续。据此我们维持谨慎看多观点，建议投资者持有前期2409合约多单。</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虽然鸡蛋现货阶段性上涨，如五月中以来的鸡蛋现货超预期上涨，可以通过需求端增量即南方持续降雨带来蔬菜缺口继而催生鸡蛋阶段性补库来解释，但今年年后以来现货整体表现强于预期，应该更多源于供应端的因素，这可能源于春节前后补栏积极性下降而淘汰积极性上升，因当时蛋鸡苗价格处于历史低位，而多家机构数据均显示去年底以来蛋鸡淘汰量同比大幅增加。参考季节性规律来看，目前鸡蛋现货仍处于季节性上涨阶段，基于我们对鸡蛋供需格局特别是供应端的认知，倾向于现货有望实现甚至超过往年的季节性涨幅水平，这对应在近月合约，特别是旺季合约上。当然，由于现货价格带动养殖利润高企，这使得近期及其接下来补栏积极性回升，而淘汰积极性大幅下降，这使得后期供需有望趋于宽松，这对应在远期合约上。7月下半月现货持续回落，可理解为现货市场库存变动所致，考虑到行业供需和季节性因素，进入8月以来现货止跌回升，在基差支撑之下，期价特别是近月有望延续涨势。综上所述，我们维持谨慎看多观点，建议投资者持有旺季合约多单。</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7" w:name="_Toc4139"/>
      <w:r>
        <w:rPr>
          <w:rFonts w:hint="eastAsia" w:ascii="楷体" w:hAnsi="楷体" w:eastAsia="楷体"/>
          <w:b/>
          <w:bCs/>
          <w:color w:val="000000" w:themeColor="text1"/>
          <w14:textFill>
            <w14:solidFill>
              <w14:schemeClr w14:val="tx1"/>
            </w14:solidFill>
          </w14:textFill>
        </w:rPr>
        <w:t>白糖：波段式偏弱震荡</w:t>
      </w:r>
      <w:bookmarkEnd w:id="37"/>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纽约原糖主力合约和伦敦白砂糖主力合约分别下跌2.07%和1.44%。美国农业部最新公布的8月供需报告显示，美国2024/25年度糖库存／使用比预估为15.9%,7月预估为13.5%。美国2023/24年度糖库存／使用比预估为16.1%,7月预估为15.6%。国内，白糖主力01合约下跌0.30%。新季存在丰产压制，但基差过大，不建议过度看空。</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8" w:name="_Toc8854"/>
      <w:r>
        <w:rPr>
          <w:rFonts w:hint="eastAsia" w:ascii="楷体" w:hAnsi="楷体" w:eastAsia="楷体"/>
          <w:b/>
          <w:bCs/>
          <w:color w:val="000000" w:themeColor="text1"/>
          <w14:textFill>
            <w14:solidFill>
              <w14:schemeClr w14:val="tx1"/>
            </w14:solidFill>
          </w14:textFill>
        </w:rPr>
        <w:t>棉花：预计郑棉走势偏弱</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夜外盘ICE美棉主力下跌1.24%。美农最新月度供需报告中显示，2024/25年度全球棉花总产预期2561.2万吨，环比调减55.6万吨，减幅2.1%；全球消费量预期2530.2万吨，环比调减21.4万吨，减幅0.8%；出口量948.0万吨，环比调减22.9万吨，减幅2.4%；全球期末库存1689.7万吨，环比调减109.3万吨，减幅6.1%。国内，郑棉主力2501主力合约下跌0.30%。市场当前主要交易衰退逻辑，下游“旺季不旺”预期也占据上风，放高温假的纺织企业增多，开机率不断降低，短期内易跌难涨。</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9" w:name="_Toc12898"/>
      <w:r>
        <w:rPr>
          <w:rFonts w:hint="eastAsia" w:ascii="楷体" w:hAnsi="楷体" w:eastAsia="楷体"/>
          <w:b/>
          <w:bCs/>
          <w:color w:val="000000" w:themeColor="text1"/>
          <w14:textFill>
            <w14:solidFill>
              <w14:schemeClr w14:val="tx1"/>
            </w14:solidFill>
          </w14:textFill>
        </w:rPr>
        <w:t>蛋白粕：超卖后技术性反弹</w:t>
      </w:r>
      <w:bookmarkEnd w:id="39"/>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美豆反弹0.81%，盘中触及低位955.25美分/磅。由于美豆持续大跌，大豆处于深度超卖区，USDA的影响或已完全反应在盘面上。因此，昨日夜盘多个品种反弹，豆二上涨0.88%，豆粕上涨1.14%，菜粕上涨1.40%。但由于USDA数据预估2024/25大豆产量上调至45.89亿蒲式耳。8月期末库存预期为5.6亿蒲式耳，单产预期为53.2蒲式耳/英亩，均高于市场预期，因此期价上涨动力不足，长期依旧偏空，预计期价反复后仍弱势运行。</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18053"/>
      <w:r>
        <w:rPr>
          <w:rFonts w:hint="eastAsia" w:ascii="楷体" w:hAnsi="楷体" w:eastAsia="楷体"/>
          <w:b/>
          <w:bCs/>
          <w:color w:val="000000" w:themeColor="text1"/>
          <w14:textFill>
            <w14:solidFill>
              <w14:schemeClr w14:val="tx1"/>
            </w14:solidFill>
          </w14:textFill>
        </w:rPr>
        <w:t>油脂类：需求略改善，短期震荡偏弱对待</w:t>
      </w:r>
      <w:bookmarkEnd w:id="40"/>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豆油反弹0.63%，菜油反弹0.18%，棕榈油反弹0.78%，反弹力度不及油料和粕类。截止8月8日当周，美豆油出口环比增2.8万吨，且7月库存降至半年来的低位。棕榈油方面，马棕油出口强劲，印度采购为期价提供支撑。后续马棕油将维持供应偏紧格局，长线来看期价将反弹上涨。截至2024年8月9日当周，全国重点地区豆油、棕榈油、菜油三大油脂商业库存总量为211.205万吨，较上周减少1.475万吨，减幅0.69%;同比2023年第32周三大油脂商业库存203.64万吨，增加4.57万吨，增幅2.21%。尽管库存同比增加，但环比减少，市场情况逐渐好转，长期来看有反弹的可能。短期来看需求端仍有待改善，预计震荡偏弱运行。</w:t>
      </w:r>
    </w:p>
    <w:p>
      <w:pPr>
        <w:pStyle w:val="93"/>
        <w:spacing w:before="0" w:beforeAutospacing="0" w:after="60" w:afterAutospacing="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41" w:name="_Toc13693"/>
      <w:r>
        <w:rPr>
          <w:rFonts w:hint="eastAsia" w:ascii="Times New Roman" w:hAnsi="Times New Roman" w:eastAsia="楷体"/>
          <w:b/>
          <w:color w:val="823C0B"/>
          <w:sz w:val="30"/>
          <w:szCs w:val="30"/>
        </w:rPr>
        <w:t>[指数]</w:t>
      </w:r>
      <w:bookmarkEnd w:id="41"/>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2" w:name="_Toc17565"/>
      <w:r>
        <w:rPr>
          <w:rFonts w:hint="eastAsia" w:ascii="Times New Roman" w:hAnsi="Times New Roman" w:eastAsia="楷体"/>
          <w:b/>
          <w:color w:val="000000" w:themeColor="text1"/>
          <w:sz w:val="24"/>
          <w:szCs w:val="24"/>
          <w14:textFill>
            <w14:solidFill>
              <w14:schemeClr w14:val="tx1"/>
            </w14:solidFill>
          </w14:textFill>
        </w:rPr>
        <w:t>集运指数（欧线）：宏观承压数据走弱，期市悲观情绪显现</w:t>
      </w:r>
      <w:bookmarkEnd w:id="42"/>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即期运价走势：8月5日，SCFIS欧线指数为6160.75点与上期相比跌1.0%。8月9日，SCFI上海港出口至欧洲基本港市场运价（海运及海运附加费）为4786美元/TEU，较上期下跌2.5%。</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端：7月份欧洲和美国的经济数据超预期走弱，全球补库的动能持续衰竭。欧元区7月综合PMI为50.1，低于前置及市场的预期。欧元区制造业PMI录得45.8%。制造业订单继续表现疲软，未来欧洲经济的复苏前景并不乐观。</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总体来看，现货回落预期再起</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留意短期风险，建议投资者谨慎操作。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3" w:name="_Toc71212556"/>
      <w:bookmarkStart w:id="44" w:name="_Toc19667"/>
      <w:bookmarkStart w:id="45" w:name="_Toc72481108"/>
      <w:bookmarkStart w:id="46" w:name="_Toc12779"/>
      <w:bookmarkStart w:id="47" w:name="_Toc98426751"/>
      <w:r>
        <w:rPr>
          <w:rFonts w:ascii="Times New Roman" w:hAnsi="Times New Roman" w:eastAsia="楷体"/>
          <w:b/>
          <w:color w:val="411D05"/>
          <w:sz w:val="30"/>
          <w:szCs w:val="30"/>
        </w:rPr>
        <w:t>免责声明</w:t>
      </w:r>
      <w:bookmarkEnd w:id="43"/>
      <w:bookmarkEnd w:id="44"/>
      <w:bookmarkEnd w:id="45"/>
      <w:bookmarkEnd w:id="46"/>
      <w:bookmarkEnd w:id="47"/>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2024年8月15日星期四</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375C3E"/>
    <w:rsid w:val="01954D8D"/>
    <w:rsid w:val="02E32A5D"/>
    <w:rsid w:val="035D5749"/>
    <w:rsid w:val="03A507DC"/>
    <w:rsid w:val="04C17862"/>
    <w:rsid w:val="04E41B77"/>
    <w:rsid w:val="057D13AE"/>
    <w:rsid w:val="064116B8"/>
    <w:rsid w:val="064A667C"/>
    <w:rsid w:val="06B2613D"/>
    <w:rsid w:val="06B753E3"/>
    <w:rsid w:val="07321D04"/>
    <w:rsid w:val="08A51999"/>
    <w:rsid w:val="09B849A4"/>
    <w:rsid w:val="09F160E3"/>
    <w:rsid w:val="0A9E0927"/>
    <w:rsid w:val="0AC64130"/>
    <w:rsid w:val="0B42525D"/>
    <w:rsid w:val="0BF11AD7"/>
    <w:rsid w:val="0C1F7DEE"/>
    <w:rsid w:val="0C88769D"/>
    <w:rsid w:val="0CDE660D"/>
    <w:rsid w:val="0D032A7C"/>
    <w:rsid w:val="0DB77106"/>
    <w:rsid w:val="0DCE2D64"/>
    <w:rsid w:val="0E955A36"/>
    <w:rsid w:val="0F662138"/>
    <w:rsid w:val="0F9B0CE9"/>
    <w:rsid w:val="0FF35275"/>
    <w:rsid w:val="100732C8"/>
    <w:rsid w:val="10DA6205"/>
    <w:rsid w:val="10E86139"/>
    <w:rsid w:val="111441F0"/>
    <w:rsid w:val="113D3FD2"/>
    <w:rsid w:val="121F7D21"/>
    <w:rsid w:val="129B2E20"/>
    <w:rsid w:val="12AA5DF8"/>
    <w:rsid w:val="12C54559"/>
    <w:rsid w:val="12CB3DD7"/>
    <w:rsid w:val="132A04C1"/>
    <w:rsid w:val="1330029C"/>
    <w:rsid w:val="134E6356"/>
    <w:rsid w:val="13AE24B4"/>
    <w:rsid w:val="14D51A3C"/>
    <w:rsid w:val="15364A7C"/>
    <w:rsid w:val="15602ADB"/>
    <w:rsid w:val="15947E4C"/>
    <w:rsid w:val="15D52593"/>
    <w:rsid w:val="1626611D"/>
    <w:rsid w:val="16E2497F"/>
    <w:rsid w:val="17A736B0"/>
    <w:rsid w:val="197E6634"/>
    <w:rsid w:val="1B7329E7"/>
    <w:rsid w:val="1B8A2034"/>
    <w:rsid w:val="1BB46C31"/>
    <w:rsid w:val="1BC72FF7"/>
    <w:rsid w:val="1D03226A"/>
    <w:rsid w:val="1D5030CD"/>
    <w:rsid w:val="1D876087"/>
    <w:rsid w:val="1DFF64E4"/>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3407F6"/>
    <w:rsid w:val="23D146B7"/>
    <w:rsid w:val="240817CF"/>
    <w:rsid w:val="24321B2E"/>
    <w:rsid w:val="244B21DE"/>
    <w:rsid w:val="245C7DFE"/>
    <w:rsid w:val="247F3074"/>
    <w:rsid w:val="24B82D9D"/>
    <w:rsid w:val="251328EC"/>
    <w:rsid w:val="254016F5"/>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E805E2F"/>
    <w:rsid w:val="2F412AB7"/>
    <w:rsid w:val="2FA14A50"/>
    <w:rsid w:val="2FA70F17"/>
    <w:rsid w:val="30CB447B"/>
    <w:rsid w:val="3115573F"/>
    <w:rsid w:val="32951C0D"/>
    <w:rsid w:val="32F131F1"/>
    <w:rsid w:val="33CE5AF4"/>
    <w:rsid w:val="340E7198"/>
    <w:rsid w:val="34A75784"/>
    <w:rsid w:val="3581551C"/>
    <w:rsid w:val="35947F79"/>
    <w:rsid w:val="35D65FDD"/>
    <w:rsid w:val="36C14F46"/>
    <w:rsid w:val="36C44D71"/>
    <w:rsid w:val="373F75CC"/>
    <w:rsid w:val="37C101D4"/>
    <w:rsid w:val="38F320AA"/>
    <w:rsid w:val="38FB27F3"/>
    <w:rsid w:val="39584559"/>
    <w:rsid w:val="399D40A5"/>
    <w:rsid w:val="39E5435C"/>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E419C"/>
    <w:rsid w:val="3EFE09FD"/>
    <w:rsid w:val="3F032E01"/>
    <w:rsid w:val="3F345DBE"/>
    <w:rsid w:val="40164730"/>
    <w:rsid w:val="40F15753"/>
    <w:rsid w:val="41F950F8"/>
    <w:rsid w:val="42EB3BA1"/>
    <w:rsid w:val="42F51780"/>
    <w:rsid w:val="43F11831"/>
    <w:rsid w:val="43F63E0D"/>
    <w:rsid w:val="44092E2E"/>
    <w:rsid w:val="441077D2"/>
    <w:rsid w:val="44396064"/>
    <w:rsid w:val="458C38B3"/>
    <w:rsid w:val="459609D9"/>
    <w:rsid w:val="45A37566"/>
    <w:rsid w:val="45CF0A85"/>
    <w:rsid w:val="46194A11"/>
    <w:rsid w:val="461E2AF1"/>
    <w:rsid w:val="47752ACA"/>
    <w:rsid w:val="47A71483"/>
    <w:rsid w:val="47C813F2"/>
    <w:rsid w:val="48352178"/>
    <w:rsid w:val="489B63EF"/>
    <w:rsid w:val="48D7317F"/>
    <w:rsid w:val="4953255E"/>
    <w:rsid w:val="49BF13F0"/>
    <w:rsid w:val="49D75468"/>
    <w:rsid w:val="49E169F0"/>
    <w:rsid w:val="4A4A74EF"/>
    <w:rsid w:val="4A6F6249"/>
    <w:rsid w:val="4AA77B51"/>
    <w:rsid w:val="4AB74C38"/>
    <w:rsid w:val="4B14426D"/>
    <w:rsid w:val="4B6224E5"/>
    <w:rsid w:val="4B8C4A56"/>
    <w:rsid w:val="4BAB6225"/>
    <w:rsid w:val="4BF97936"/>
    <w:rsid w:val="4C2C4D07"/>
    <w:rsid w:val="4C457E30"/>
    <w:rsid w:val="4CAC2FB1"/>
    <w:rsid w:val="4D2A3925"/>
    <w:rsid w:val="4D597189"/>
    <w:rsid w:val="4DB20386"/>
    <w:rsid w:val="4DF02D90"/>
    <w:rsid w:val="4E665CB5"/>
    <w:rsid w:val="4EB84B21"/>
    <w:rsid w:val="4F271764"/>
    <w:rsid w:val="4F7D0512"/>
    <w:rsid w:val="4FAF4829"/>
    <w:rsid w:val="4FBA2B77"/>
    <w:rsid w:val="4FD46E6F"/>
    <w:rsid w:val="5005695E"/>
    <w:rsid w:val="50286811"/>
    <w:rsid w:val="50700F42"/>
    <w:rsid w:val="50ED1DE1"/>
    <w:rsid w:val="51266B84"/>
    <w:rsid w:val="51642661"/>
    <w:rsid w:val="5191036A"/>
    <w:rsid w:val="52465DB8"/>
    <w:rsid w:val="52940E89"/>
    <w:rsid w:val="546B5509"/>
    <w:rsid w:val="548642E9"/>
    <w:rsid w:val="54A17941"/>
    <w:rsid w:val="54C12E33"/>
    <w:rsid w:val="55633225"/>
    <w:rsid w:val="556D6DC3"/>
    <w:rsid w:val="563B25E1"/>
    <w:rsid w:val="566A208A"/>
    <w:rsid w:val="56DD4D3A"/>
    <w:rsid w:val="57555A7B"/>
    <w:rsid w:val="5770382C"/>
    <w:rsid w:val="57846909"/>
    <w:rsid w:val="57CB522F"/>
    <w:rsid w:val="57F46FBE"/>
    <w:rsid w:val="58042686"/>
    <w:rsid w:val="58246D5D"/>
    <w:rsid w:val="58EC5960"/>
    <w:rsid w:val="58F400B4"/>
    <w:rsid w:val="59151C86"/>
    <w:rsid w:val="59732982"/>
    <w:rsid w:val="598F0769"/>
    <w:rsid w:val="59C52328"/>
    <w:rsid w:val="5AD37D8A"/>
    <w:rsid w:val="5AF87BF9"/>
    <w:rsid w:val="5B906095"/>
    <w:rsid w:val="5BC6560B"/>
    <w:rsid w:val="5BF60A75"/>
    <w:rsid w:val="5C813B75"/>
    <w:rsid w:val="5C9F2D01"/>
    <w:rsid w:val="5D3F3466"/>
    <w:rsid w:val="5D5617A6"/>
    <w:rsid w:val="5D716329"/>
    <w:rsid w:val="5EA23F15"/>
    <w:rsid w:val="5EA7685B"/>
    <w:rsid w:val="5ED40954"/>
    <w:rsid w:val="5EFA4E95"/>
    <w:rsid w:val="60BE22C5"/>
    <w:rsid w:val="612C30C5"/>
    <w:rsid w:val="619A2BBF"/>
    <w:rsid w:val="61DF02D0"/>
    <w:rsid w:val="61FB37A1"/>
    <w:rsid w:val="62710E5F"/>
    <w:rsid w:val="62AD0966"/>
    <w:rsid w:val="63735B47"/>
    <w:rsid w:val="63FF1EA7"/>
    <w:rsid w:val="64C32497"/>
    <w:rsid w:val="669D0EEA"/>
    <w:rsid w:val="66B64FC1"/>
    <w:rsid w:val="66C861F9"/>
    <w:rsid w:val="66D04BBC"/>
    <w:rsid w:val="67655BF9"/>
    <w:rsid w:val="678C3343"/>
    <w:rsid w:val="67C6389B"/>
    <w:rsid w:val="685D4EEE"/>
    <w:rsid w:val="68AE1587"/>
    <w:rsid w:val="68CC4906"/>
    <w:rsid w:val="68D53E8D"/>
    <w:rsid w:val="699C76C5"/>
    <w:rsid w:val="6A194855"/>
    <w:rsid w:val="6A2F056E"/>
    <w:rsid w:val="6B292599"/>
    <w:rsid w:val="6D9172E5"/>
    <w:rsid w:val="6DF1703F"/>
    <w:rsid w:val="6E133456"/>
    <w:rsid w:val="6ECB7DD2"/>
    <w:rsid w:val="6F123DD8"/>
    <w:rsid w:val="6F1E315D"/>
    <w:rsid w:val="6F2A3FC1"/>
    <w:rsid w:val="6F79454F"/>
    <w:rsid w:val="6FE61065"/>
    <w:rsid w:val="70675779"/>
    <w:rsid w:val="70C135EC"/>
    <w:rsid w:val="712C7DE8"/>
    <w:rsid w:val="713E0334"/>
    <w:rsid w:val="716F5E64"/>
    <w:rsid w:val="72417AFE"/>
    <w:rsid w:val="72585CB5"/>
    <w:rsid w:val="729B5F03"/>
    <w:rsid w:val="72D92B78"/>
    <w:rsid w:val="72F62A89"/>
    <w:rsid w:val="731B289D"/>
    <w:rsid w:val="736D22BA"/>
    <w:rsid w:val="737357AF"/>
    <w:rsid w:val="74163BE4"/>
    <w:rsid w:val="74A928A6"/>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E55995"/>
    <w:rsid w:val="79267C0B"/>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2024-08-15T01:53:40Z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