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9" w:name="_GoBack"/>
          <w:bookmarkEnd w:id="49"/>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_Toc23573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_Toc18650 </w:instrText>
          </w:r>
          <w:r>
            <w:rPr>
              <w:bCs/>
            </w:rPr>
            <w:fldChar w:fldCharType="separate"/>
          </w:r>
          <w:r>
            <w:rPr>
              <w:rFonts w:hint="eastAsia" w:ascii="Times New Roman" w:hAnsi="Times New Roman" w:eastAsia="楷体"/>
              <w:szCs w:val="24"/>
            </w:rPr>
            <w:t>股指：维持弱市震荡观点</w:t>
          </w:r>
          <w:r>
            <w:rPr>
              <w:bCs/>
            </w:rPr>
            <w:fldChar w:fldCharType="end"/>
          </w:r>
        </w:p>
        <w:p>
          <w:pPr>
            <w:pStyle w:val="59"/>
            <w:tabs>
              <w:tab w:val="right" w:leader="dot" w:pos="8306"/>
            </w:tabs>
          </w:pPr>
          <w:r>
            <w:rPr>
              <w:bCs/>
            </w:rPr>
            <w:fldChar w:fldCharType="begin"/>
          </w:r>
          <w:r>
            <w:rPr>
              <w:bCs/>
            </w:rPr>
            <w:instrText xml:space="preserve"> HYPERLINK \l _Toc32706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_Toc17236 </w:instrText>
          </w:r>
          <w:r>
            <w:rPr>
              <w:bCs/>
            </w:rPr>
            <w:fldChar w:fldCharType="separate"/>
          </w:r>
          <w:r>
            <w:rPr>
              <w:rFonts w:hint="eastAsia" w:ascii="Times New Roman" w:hAnsi="Times New Roman" w:eastAsia="楷体"/>
              <w:szCs w:val="24"/>
            </w:rPr>
            <w:t>贵金属：美元指数反弹，贵金属价格下跌</w:t>
          </w:r>
          <w:r>
            <w:rPr>
              <w:bCs/>
            </w:rPr>
            <w:fldChar w:fldCharType="end"/>
          </w:r>
        </w:p>
        <w:p>
          <w:pPr>
            <w:pStyle w:val="59"/>
            <w:tabs>
              <w:tab w:val="right" w:leader="dot" w:pos="8306"/>
            </w:tabs>
          </w:pPr>
          <w:r>
            <w:rPr>
              <w:bCs/>
            </w:rPr>
            <w:fldChar w:fldCharType="begin"/>
          </w:r>
          <w:r>
            <w:rPr>
              <w:bCs/>
            </w:rPr>
            <w:instrText xml:space="preserve"> HYPERLINK \l _Toc24559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_Toc13211 </w:instrText>
          </w:r>
          <w:r>
            <w:rPr>
              <w:bCs/>
            </w:rPr>
            <w:fldChar w:fldCharType="separate"/>
          </w:r>
          <w:r>
            <w:rPr>
              <w:rFonts w:hint="eastAsia" w:ascii="楷体" w:hAnsi="楷体" w:eastAsia="楷体"/>
              <w:szCs w:val="24"/>
            </w:rPr>
            <w:t>碳酸锂：锂企拍卖锂辉石精矿，期价小幅上涨</w:t>
          </w:r>
          <w:r>
            <w:rPr>
              <w:bCs/>
            </w:rPr>
            <w:fldChar w:fldCharType="end"/>
          </w:r>
        </w:p>
        <w:p>
          <w:pPr>
            <w:pStyle w:val="74"/>
            <w:tabs>
              <w:tab w:val="right" w:leader="dot" w:pos="8306"/>
            </w:tabs>
          </w:pPr>
          <w:r>
            <w:rPr>
              <w:bCs/>
            </w:rPr>
            <w:fldChar w:fldCharType="begin"/>
          </w:r>
          <w:r>
            <w:rPr>
              <w:bCs/>
            </w:rPr>
            <w:instrText xml:space="preserve"> HYPERLINK \l _Toc24018 </w:instrText>
          </w:r>
          <w:r>
            <w:rPr>
              <w:bCs/>
            </w:rPr>
            <w:fldChar w:fldCharType="separate"/>
          </w:r>
          <w:r>
            <w:rPr>
              <w:rFonts w:hint="eastAsia" w:ascii="楷体" w:hAnsi="楷体" w:eastAsia="楷体"/>
              <w:szCs w:val="24"/>
            </w:rPr>
            <w:t>铝：区间弱向震荡</w:t>
          </w:r>
          <w:r>
            <w:rPr>
              <w:bCs/>
            </w:rPr>
            <w:fldChar w:fldCharType="end"/>
          </w:r>
        </w:p>
        <w:p>
          <w:pPr>
            <w:pStyle w:val="74"/>
            <w:tabs>
              <w:tab w:val="right" w:leader="dot" w:pos="8306"/>
            </w:tabs>
          </w:pPr>
          <w:r>
            <w:rPr>
              <w:bCs/>
            </w:rPr>
            <w:fldChar w:fldCharType="begin"/>
          </w:r>
          <w:r>
            <w:rPr>
              <w:bCs/>
            </w:rPr>
            <w:instrText xml:space="preserve"> HYPERLINK \l _Toc19055 </w:instrText>
          </w:r>
          <w:r>
            <w:rPr>
              <w:bCs/>
            </w:rPr>
            <w:fldChar w:fldCharType="separate"/>
          </w:r>
          <w:r>
            <w:rPr>
              <w:rFonts w:hint="eastAsia" w:ascii="楷体" w:hAnsi="楷体" w:eastAsia="楷体"/>
              <w:szCs w:val="24"/>
            </w:rPr>
            <w:t>锌：建议阶段性止盈</w:t>
          </w:r>
          <w:r>
            <w:rPr>
              <w:bCs/>
            </w:rPr>
            <w:fldChar w:fldCharType="end"/>
          </w:r>
        </w:p>
        <w:p>
          <w:pPr>
            <w:pStyle w:val="74"/>
            <w:tabs>
              <w:tab w:val="right" w:leader="dot" w:pos="8306"/>
            </w:tabs>
          </w:pPr>
          <w:r>
            <w:rPr>
              <w:bCs/>
            </w:rPr>
            <w:fldChar w:fldCharType="begin"/>
          </w:r>
          <w:r>
            <w:rPr>
              <w:bCs/>
            </w:rPr>
            <w:instrText xml:space="preserve"> HYPERLINK \l _Toc29185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：区间震荡为主</w:t>
          </w:r>
          <w:r>
            <w:rPr>
              <w:bCs/>
            </w:rPr>
            <w:fldChar w:fldCharType="end"/>
          </w:r>
        </w:p>
        <w:p>
          <w:pPr>
            <w:pStyle w:val="74"/>
            <w:tabs>
              <w:tab w:val="right" w:leader="dot" w:pos="8306"/>
            </w:tabs>
          </w:pPr>
          <w:r>
            <w:rPr>
              <w:bCs/>
            </w:rPr>
            <w:fldChar w:fldCharType="begin"/>
          </w:r>
          <w:r>
            <w:rPr>
              <w:bCs/>
            </w:rPr>
            <w:instrText xml:space="preserve"> HYPERLINK \l _Toc25981 </w:instrText>
          </w:r>
          <w:r>
            <w:rPr>
              <w:bCs/>
            </w:rPr>
            <w:fldChar w:fldCharType="separate"/>
          </w:r>
          <w:r>
            <w:rPr>
              <w:rFonts w:hint="eastAsia" w:ascii="楷体" w:hAnsi="楷体" w:eastAsia="楷体"/>
              <w:szCs w:val="24"/>
            </w:rPr>
            <w:t>镍：基本面维持弱势，区间震荡为主</w:t>
          </w:r>
          <w:r>
            <w:rPr>
              <w:bCs/>
            </w:rPr>
            <w:fldChar w:fldCharType="end"/>
          </w:r>
        </w:p>
        <w:p>
          <w:pPr>
            <w:pStyle w:val="74"/>
            <w:tabs>
              <w:tab w:val="right" w:leader="dot" w:pos="8306"/>
            </w:tabs>
          </w:pPr>
          <w:r>
            <w:rPr>
              <w:bCs/>
            </w:rPr>
            <w:fldChar w:fldCharType="begin"/>
          </w:r>
          <w:r>
            <w:rPr>
              <w:bCs/>
            </w:rPr>
            <w:instrText xml:space="preserve"> HYPERLINK \l _Toc29986 </w:instrText>
          </w:r>
          <w:r>
            <w:rPr>
              <w:bCs/>
            </w:rPr>
            <w:fldChar w:fldCharType="separate"/>
          </w:r>
          <w:r>
            <w:rPr>
              <w:rFonts w:hint="eastAsia" w:ascii="楷体" w:hAnsi="楷体" w:eastAsia="楷体"/>
              <w:szCs w:val="24"/>
            </w:rPr>
            <w:t>不锈钢：延续弱需求强成本格局，维持震荡观点</w:t>
          </w:r>
          <w:r>
            <w:rPr>
              <w:bCs/>
            </w:rPr>
            <w:fldChar w:fldCharType="end"/>
          </w:r>
        </w:p>
        <w:p>
          <w:pPr>
            <w:pStyle w:val="74"/>
            <w:tabs>
              <w:tab w:val="right" w:leader="dot" w:pos="8306"/>
            </w:tabs>
          </w:pPr>
          <w:r>
            <w:rPr>
              <w:bCs/>
            </w:rPr>
            <w:fldChar w:fldCharType="begin"/>
          </w:r>
          <w:r>
            <w:rPr>
              <w:bCs/>
            </w:rPr>
            <w:instrText xml:space="preserve"> HYPERLINK \l _Toc19928 </w:instrText>
          </w:r>
          <w:r>
            <w:rPr>
              <w:bCs/>
            </w:rPr>
            <w:fldChar w:fldCharType="separate"/>
          </w:r>
          <w:r>
            <w:rPr>
              <w:rFonts w:hint="eastAsia" w:ascii="楷体" w:hAnsi="楷体" w:eastAsia="楷体"/>
              <w:szCs w:val="24"/>
            </w:rPr>
            <w:t>工业硅：硅片龙头涨价，市场情绪有所改善</w:t>
          </w:r>
          <w:r>
            <w:rPr>
              <w:bCs/>
            </w:rPr>
            <w:fldChar w:fldCharType="end"/>
          </w:r>
        </w:p>
        <w:p>
          <w:pPr>
            <w:pStyle w:val="59"/>
            <w:tabs>
              <w:tab w:val="right" w:leader="dot" w:pos="8306"/>
            </w:tabs>
          </w:pPr>
          <w:r>
            <w:rPr>
              <w:bCs/>
            </w:rPr>
            <w:fldChar w:fldCharType="begin"/>
          </w:r>
          <w:r>
            <w:rPr>
              <w:bCs/>
            </w:rPr>
            <w:instrText xml:space="preserve"> HYPERLINK \l _Toc6900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_Toc9044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成本支撑坚挺 天胶表现偏强</w:t>
          </w:r>
          <w:r>
            <w:rPr>
              <w:bCs/>
            </w:rPr>
            <w:fldChar w:fldCharType="end"/>
          </w:r>
        </w:p>
        <w:p>
          <w:pPr>
            <w:pStyle w:val="74"/>
            <w:tabs>
              <w:tab w:val="right" w:leader="dot" w:pos="8306"/>
            </w:tabs>
          </w:pPr>
          <w:r>
            <w:rPr>
              <w:bCs/>
            </w:rPr>
            <w:fldChar w:fldCharType="begin"/>
          </w:r>
          <w:r>
            <w:rPr>
              <w:bCs/>
            </w:rPr>
            <w:instrText xml:space="preserve"> HYPERLINK \l _Toc6856 </w:instrText>
          </w:r>
          <w:r>
            <w:rPr>
              <w:bCs/>
            </w:rPr>
            <w:fldChar w:fldCharType="separate"/>
          </w:r>
          <w:r>
            <w:rPr>
              <w:rFonts w:hint="eastAsia" w:ascii="Times New Roman" w:hAnsi="Times New Roman" w:eastAsia="楷体"/>
              <w:szCs w:val="24"/>
            </w:rPr>
            <w:t>聚烯烃：需求未见明显起色 聚烯烃跟随原油价格走势为主</w:t>
          </w:r>
          <w:r>
            <w:rPr>
              <w:bCs/>
            </w:rPr>
            <w:fldChar w:fldCharType="end"/>
          </w:r>
        </w:p>
        <w:p>
          <w:pPr>
            <w:pStyle w:val="74"/>
            <w:tabs>
              <w:tab w:val="right" w:leader="dot" w:pos="8306"/>
            </w:tabs>
          </w:pPr>
          <w:r>
            <w:rPr>
              <w:bCs/>
            </w:rPr>
            <w:fldChar w:fldCharType="begin"/>
          </w:r>
          <w:r>
            <w:rPr>
              <w:bCs/>
            </w:rPr>
            <w:instrText xml:space="preserve"> HYPERLINK \l _Toc9121 </w:instrText>
          </w:r>
          <w:r>
            <w:rPr>
              <w:bCs/>
            </w:rPr>
            <w:fldChar w:fldCharType="separate"/>
          </w:r>
          <w:r>
            <w:rPr>
              <w:rFonts w:hint="eastAsia" w:ascii="Times New Roman" w:hAnsi="Times New Roman" w:eastAsia="楷体"/>
              <w:szCs w:val="24"/>
            </w:rPr>
            <w:t>原油：供需忧虑主导，油价寻支撑位</w:t>
          </w:r>
          <w:r>
            <w:rPr>
              <w:bCs/>
            </w:rPr>
            <w:fldChar w:fldCharType="end"/>
          </w:r>
        </w:p>
        <w:p>
          <w:pPr>
            <w:pStyle w:val="74"/>
            <w:tabs>
              <w:tab w:val="right" w:leader="dot" w:pos="8306"/>
            </w:tabs>
          </w:pPr>
          <w:r>
            <w:rPr>
              <w:bCs/>
            </w:rPr>
            <w:fldChar w:fldCharType="begin"/>
          </w:r>
          <w:r>
            <w:rPr>
              <w:bCs/>
            </w:rPr>
            <w:instrText xml:space="preserve"> HYPERLINK \l _Toc6311 </w:instrText>
          </w:r>
          <w:r>
            <w:rPr>
              <w:bCs/>
            </w:rPr>
            <w:fldChar w:fldCharType="separate"/>
          </w:r>
          <w:r>
            <w:rPr>
              <w:rFonts w:hint="eastAsia" w:ascii="Times New Roman" w:hAnsi="Times New Roman" w:eastAsia="楷体"/>
              <w:szCs w:val="24"/>
            </w:rPr>
            <w:t>燃料油及低硫燃料油：原油回调拖累，燃料油期货市场波动加剧</w:t>
          </w:r>
          <w:r>
            <w:rPr>
              <w:bCs/>
            </w:rPr>
            <w:fldChar w:fldCharType="end"/>
          </w:r>
        </w:p>
        <w:p>
          <w:pPr>
            <w:pStyle w:val="74"/>
            <w:tabs>
              <w:tab w:val="right" w:leader="dot" w:pos="8306"/>
            </w:tabs>
          </w:pPr>
          <w:r>
            <w:rPr>
              <w:bCs/>
            </w:rPr>
            <w:fldChar w:fldCharType="begin"/>
          </w:r>
          <w:r>
            <w:rPr>
              <w:bCs/>
            </w:rPr>
            <w:instrText xml:space="preserve"> HYPERLINK \l _Toc13143 </w:instrText>
          </w:r>
          <w:r>
            <w:rPr>
              <w:bCs/>
            </w:rPr>
            <w:fldChar w:fldCharType="separate"/>
          </w:r>
          <w:r>
            <w:rPr>
              <w:rFonts w:hint="eastAsia" w:ascii="Times New Roman" w:hAnsi="Times New Roman" w:eastAsia="楷体"/>
              <w:szCs w:val="24"/>
            </w:rPr>
            <w:t>沥青：沥青期货价格下跌，供需博弈下现货维稳</w:t>
          </w:r>
          <w:r>
            <w:rPr>
              <w:bCs/>
            </w:rPr>
            <w:fldChar w:fldCharType="end"/>
          </w:r>
        </w:p>
        <w:p>
          <w:pPr>
            <w:pStyle w:val="74"/>
            <w:tabs>
              <w:tab w:val="right" w:leader="dot" w:pos="8306"/>
            </w:tabs>
          </w:pPr>
          <w:r>
            <w:rPr>
              <w:bCs/>
            </w:rPr>
            <w:fldChar w:fldCharType="begin"/>
          </w:r>
          <w:r>
            <w:rPr>
              <w:bCs/>
            </w:rPr>
            <w:instrText xml:space="preserve"> HYPERLINK \l _Toc15536 </w:instrText>
          </w:r>
          <w:r>
            <w:rPr>
              <w:bCs/>
            </w:rPr>
            <w:fldChar w:fldCharType="separate"/>
          </w:r>
          <w:r>
            <w:rPr>
              <w:rFonts w:hint="eastAsia" w:ascii="Times New Roman" w:hAnsi="Times New Roman" w:eastAsia="楷体"/>
              <w:szCs w:val="24"/>
            </w:rPr>
            <w:t>PTA：后市仍存累库压力 价格持续改善空间受限</w:t>
          </w:r>
          <w:r>
            <w:rPr>
              <w:bCs/>
            </w:rPr>
            <w:fldChar w:fldCharType="end"/>
          </w:r>
        </w:p>
        <w:p>
          <w:pPr>
            <w:pStyle w:val="74"/>
            <w:tabs>
              <w:tab w:val="right" w:leader="dot" w:pos="8306"/>
            </w:tabs>
          </w:pPr>
          <w:r>
            <w:rPr>
              <w:bCs/>
            </w:rPr>
            <w:fldChar w:fldCharType="begin"/>
          </w:r>
          <w:r>
            <w:rPr>
              <w:bCs/>
            </w:rPr>
            <w:instrText xml:space="preserve"> HYPERLINK \l _Toc87 </w:instrText>
          </w:r>
          <w:r>
            <w:rPr>
              <w:bCs/>
            </w:rPr>
            <w:fldChar w:fldCharType="separate"/>
          </w:r>
          <w:r>
            <w:rPr>
              <w:rFonts w:hint="eastAsia" w:ascii="Times New Roman" w:hAnsi="Times New Roman" w:eastAsia="楷体"/>
              <w:szCs w:val="24"/>
            </w:rPr>
            <w:t>乙二醇：下游聚酯需求小幅改善 乙二醇或维持震荡走势</w:t>
          </w:r>
          <w:r>
            <w:rPr>
              <w:bCs/>
            </w:rPr>
            <w:fldChar w:fldCharType="end"/>
          </w:r>
        </w:p>
        <w:p>
          <w:pPr>
            <w:pStyle w:val="59"/>
            <w:tabs>
              <w:tab w:val="right" w:leader="dot" w:pos="8306"/>
            </w:tabs>
          </w:pPr>
          <w:r>
            <w:rPr>
              <w:bCs/>
            </w:rPr>
            <w:fldChar w:fldCharType="begin"/>
          </w:r>
          <w:r>
            <w:rPr>
              <w:bCs/>
            </w:rPr>
            <w:instrText xml:space="preserve"> HYPERLINK \l _Toc4734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_Toc4132 </w:instrText>
          </w:r>
          <w:r>
            <w:rPr>
              <w:bCs/>
            </w:rPr>
            <w:fldChar w:fldCharType="separate"/>
          </w:r>
          <w:r>
            <w:rPr>
              <w:rFonts w:hint="eastAsia" w:ascii="楷体" w:hAnsi="楷体" w:eastAsia="楷体"/>
              <w:bCs/>
            </w:rPr>
            <w:t>玉米与淀粉：</w:t>
          </w:r>
          <w:r>
            <w:rPr>
              <w:rFonts w:hint="eastAsia" w:ascii="楷体" w:hAnsi="楷体" w:eastAsia="楷体"/>
            </w:rPr>
            <w:t>华北现货带动期价震荡调整</w:t>
          </w:r>
          <w:r>
            <w:rPr>
              <w:bCs/>
            </w:rPr>
            <w:fldChar w:fldCharType="end"/>
          </w:r>
        </w:p>
        <w:p>
          <w:pPr>
            <w:pStyle w:val="74"/>
            <w:tabs>
              <w:tab w:val="right" w:leader="dot" w:pos="8306"/>
            </w:tabs>
          </w:pPr>
          <w:r>
            <w:rPr>
              <w:bCs/>
            </w:rPr>
            <w:fldChar w:fldCharType="begin"/>
          </w:r>
          <w:r>
            <w:rPr>
              <w:bCs/>
            </w:rPr>
            <w:instrText xml:space="preserve"> HYPERLINK \l _Toc22670 </w:instrText>
          </w:r>
          <w:r>
            <w:rPr>
              <w:bCs/>
            </w:rPr>
            <w:fldChar w:fldCharType="separate"/>
          </w:r>
          <w:r>
            <w:rPr>
              <w:rFonts w:hint="eastAsia" w:ascii="楷体" w:hAnsi="楷体" w:eastAsia="楷体"/>
              <w:bCs/>
            </w:rPr>
            <w:t>畜禽养殖：生猪期现背离带动近月基差显著走弱</w:t>
          </w:r>
          <w:r>
            <w:rPr>
              <w:bCs/>
            </w:rPr>
            <w:fldChar w:fldCharType="end"/>
          </w:r>
        </w:p>
        <w:p>
          <w:pPr>
            <w:pStyle w:val="74"/>
            <w:tabs>
              <w:tab w:val="right" w:leader="dot" w:pos="8306"/>
            </w:tabs>
          </w:pPr>
          <w:r>
            <w:rPr>
              <w:bCs/>
            </w:rPr>
            <w:fldChar w:fldCharType="begin"/>
          </w:r>
          <w:r>
            <w:rPr>
              <w:bCs/>
            </w:rPr>
            <w:instrText xml:space="preserve"> HYPERLINK \l _Toc25130 </w:instrText>
          </w:r>
          <w:r>
            <w:rPr>
              <w:bCs/>
            </w:rPr>
            <w:fldChar w:fldCharType="separate"/>
          </w:r>
          <w:r>
            <w:rPr>
              <w:rFonts w:hint="eastAsia" w:ascii="楷体" w:hAnsi="楷体" w:eastAsia="楷体"/>
              <w:bCs/>
            </w:rPr>
            <w:t>白糖：震荡偏强</w:t>
          </w:r>
          <w:r>
            <w:rPr>
              <w:bCs/>
            </w:rPr>
            <w:fldChar w:fldCharType="end"/>
          </w:r>
        </w:p>
        <w:p>
          <w:pPr>
            <w:pStyle w:val="74"/>
            <w:tabs>
              <w:tab w:val="right" w:leader="dot" w:pos="8306"/>
            </w:tabs>
          </w:pPr>
          <w:r>
            <w:rPr>
              <w:bCs/>
            </w:rPr>
            <w:fldChar w:fldCharType="begin"/>
          </w:r>
          <w:r>
            <w:rPr>
              <w:bCs/>
            </w:rPr>
            <w:instrText xml:space="preserve"> HYPERLINK \l _Toc26621 </w:instrText>
          </w:r>
          <w:r>
            <w:rPr>
              <w:bCs/>
            </w:rPr>
            <w:fldChar w:fldCharType="separate"/>
          </w:r>
          <w:r>
            <w:rPr>
              <w:rFonts w:hint="eastAsia" w:ascii="楷体" w:hAnsi="楷体" w:eastAsia="楷体"/>
              <w:bCs/>
            </w:rPr>
            <w:t>棉花：预计郑棉震荡整理，背靠1.4万逢高布局空单</w:t>
          </w:r>
          <w:r>
            <w:rPr>
              <w:bCs/>
            </w:rPr>
            <w:fldChar w:fldCharType="end"/>
          </w:r>
        </w:p>
        <w:p>
          <w:pPr>
            <w:pStyle w:val="74"/>
            <w:tabs>
              <w:tab w:val="right" w:leader="dot" w:pos="8306"/>
            </w:tabs>
          </w:pPr>
          <w:r>
            <w:rPr>
              <w:bCs/>
            </w:rPr>
            <w:fldChar w:fldCharType="begin"/>
          </w:r>
          <w:r>
            <w:rPr>
              <w:bCs/>
            </w:rPr>
            <w:instrText xml:space="preserve"> HYPERLINK \l _Toc19717 </w:instrText>
          </w:r>
          <w:r>
            <w:rPr>
              <w:bCs/>
            </w:rPr>
            <w:fldChar w:fldCharType="separate"/>
          </w:r>
          <w:r>
            <w:rPr>
              <w:rFonts w:hint="eastAsia" w:ascii="楷体" w:hAnsi="楷体" w:eastAsia="楷体"/>
              <w:bCs/>
            </w:rPr>
            <w:t>蛋白粕：续涨缺乏支撑，再次下跌</w:t>
          </w:r>
          <w:r>
            <w:rPr>
              <w:bCs/>
            </w:rPr>
            <w:fldChar w:fldCharType="end"/>
          </w:r>
        </w:p>
        <w:p>
          <w:pPr>
            <w:pStyle w:val="74"/>
            <w:tabs>
              <w:tab w:val="right" w:leader="dot" w:pos="8306"/>
            </w:tabs>
          </w:pPr>
          <w:r>
            <w:rPr>
              <w:bCs/>
            </w:rPr>
            <w:fldChar w:fldCharType="begin"/>
          </w:r>
          <w:r>
            <w:rPr>
              <w:bCs/>
            </w:rPr>
            <w:instrText xml:space="preserve"> HYPERLINK \l _Toc24343 </w:instrText>
          </w:r>
          <w:r>
            <w:rPr>
              <w:bCs/>
            </w:rPr>
            <w:fldChar w:fldCharType="separate"/>
          </w:r>
          <w:r>
            <w:rPr>
              <w:rFonts w:hint="eastAsia" w:ascii="楷体" w:hAnsi="楷体" w:eastAsia="楷体"/>
              <w:bCs/>
            </w:rPr>
            <w:t>油脂类：豆油延续涨势，菜油跟随棕榈油下跌</w:t>
          </w:r>
          <w:r>
            <w:rPr>
              <w:bCs/>
            </w:rPr>
            <w:fldChar w:fldCharType="end"/>
          </w:r>
        </w:p>
        <w:p>
          <w:pPr>
            <w:pStyle w:val="59"/>
            <w:tabs>
              <w:tab w:val="right" w:leader="dot" w:pos="8306"/>
            </w:tabs>
          </w:pPr>
          <w:r>
            <w:rPr>
              <w:bCs/>
            </w:rPr>
            <w:fldChar w:fldCharType="begin"/>
          </w:r>
          <w:r>
            <w:rPr>
              <w:bCs/>
            </w:rPr>
            <w:instrText xml:space="preserve"> HYPERLINK \l _Toc14157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_Toc19861 </w:instrText>
          </w:r>
          <w:r>
            <w:rPr>
              <w:bCs/>
            </w:rPr>
            <w:fldChar w:fldCharType="separate"/>
          </w:r>
          <w:r>
            <w:rPr>
              <w:rFonts w:hint="eastAsia" w:ascii="Times New Roman" w:hAnsi="Times New Roman" w:eastAsia="楷体"/>
              <w:szCs w:val="24"/>
            </w:rPr>
            <w:t>集运指数（欧线）：货量季节性转弱为船司带来降价压力，期价下跌</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23573"/>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18650"/>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维持弱市震荡观点</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昨日A股震荡走低，市场成交额不足5000亿，沪指创调整阶段以来新低。市场近4600股下跌。在海外宽货币背景下，是国内宽松政策跟进的窗口期，但目前看来降息预期发酵较为充分，A股仍受困于市场信心不足，买盘单一等问题，缺乏持续性进攻机会。后续，需观察国内宽货币的跟进力度，国内宽财政执行改善及效果的乐观预期发酵。</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32706"/>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17236"/>
      <w:r>
        <w:rPr>
          <w:rFonts w:hint="eastAsia" w:ascii="Times New Roman" w:hAnsi="Times New Roman" w:eastAsia="楷体"/>
          <w:b/>
          <w:color w:val="000000" w:themeColor="text1"/>
          <w:sz w:val="24"/>
          <w:szCs w:val="24"/>
          <w14:textFill>
            <w14:solidFill>
              <w14:schemeClr w14:val="tx1"/>
            </w14:solidFill>
          </w14:textFill>
        </w:rPr>
        <w:t>贵金属：美元指数反弹，贵金属价格下跌</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美元指数涨0.51%至101.06，沪金跌0.14%至575.04元/克，沪银跌1.85%至7471元/千克。美联储7月贴现率会议纪要显示，芝加哥联储、纽约联储官员投票赞成下调贴现率25个基点至5.25%；各地区联储官员普遍认为美国经济活动稳定、通胀缓和、劳动力市场继续趋于平衡。美国30年期固定利率抵押贷款的合约利率连续第四周走低，降至6.44%。周内留意美国二季度经济数据修正值，以及美国PCE通胀等数据公布情况，美联储主席讲话释放降息信号，后续9月会议降息落地或支撑贵金属价格上行，持续留意多头逢低布局机会。</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20891"/>
      <w:bookmarkStart w:id="11" w:name="_Toc3096"/>
      <w:bookmarkStart w:id="12" w:name="金属"/>
      <w:bookmarkStart w:id="13" w:name="_Toc24559"/>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13211"/>
      <w:bookmarkStart w:id="16" w:name="_Toc5371"/>
      <w:bookmarkStart w:id="17" w:name="_Toc27831"/>
      <w:r>
        <w:rPr>
          <w:rFonts w:hint="eastAsia" w:ascii="楷体" w:hAnsi="楷体" w:eastAsia="楷体"/>
          <w:b/>
          <w:color w:val="000000" w:themeColor="text1"/>
          <w:sz w:val="24"/>
          <w:szCs w:val="24"/>
          <w14:textFill>
            <w14:solidFill>
              <w14:schemeClr w14:val="tx1"/>
            </w14:solidFill>
          </w14:textFill>
        </w:rPr>
        <w:t>碳酸锂：锂企拍卖锂辉石精矿，期价小幅上涨</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期价窄幅震荡，11合约收涨0.13%至75750元/吨。8月28日，雅保拍卖一批来自Wodgina矿山的锂辉石，招标最终价格为6300元/吨(品位5.39%，镇江含税自提)，换算碳酸锂生产成本约8万元/吨。生产企业维持挺价情绪，矿石提锂企业开工略微下行，盐湖提锂成本优势明显、产量维持高峰。下游需求回暖，散单成交活跃程度有所上升，库存仍处于高位，期价或区间震荡。</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8" w:name="_Toc6247"/>
      <w:bookmarkStart w:id="19" w:name="_Toc8897"/>
      <w:bookmarkStart w:id="20" w:name="_Toc24018"/>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区间弱向震荡</w:t>
      </w:r>
      <w:bookmarkEnd w:id="20"/>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联储主席鲍威尔发言偏鸽，9月美联储如期降息25BP为大概率事件，降息乐观预期逐步完成消化，市场预期提振有限。7月铝土矿进口增量明显，进入8月几内亚、澳洲铝土矿出港量明显减少，国内矿产供应有限，部分前期氧化铝高产产能进入检修，市场内氧化铝现货稀缺，电解铝成本支撑较强，电解铝中游冶炼开产积极，供应高位，部分地区受偶发事故及电力影响或小幅减产，交易所库存累积，社库小幅去化，进入传统消费旺季前下游备货情绪提振，实际旺季对需求的刺激效应仍待证伪。铝价2w关键位置承压向下运行，短期暂看19600-20200区间震荡。</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19055"/>
      <w:r>
        <w:rPr>
          <w:rFonts w:hint="eastAsia" w:ascii="楷体" w:hAnsi="楷体" w:eastAsia="楷体"/>
          <w:b/>
          <w:color w:val="000000" w:themeColor="text1"/>
          <w:sz w:val="24"/>
          <w:szCs w:val="24"/>
          <w14:textFill>
            <w14:solidFill>
              <w14:schemeClr w14:val="tx1"/>
            </w14:solidFill>
          </w14:textFill>
        </w:rPr>
        <w:t>锌：建议阶段性止盈</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欧美经济数据表现疲软，全球经济衰退交易逻辑未止，美联储官员发言偏鸽派，9月降息25BP为大概率事件，持续警惕宏观反复。锌矿TC费率低迷，厂内原料可用库存保持低位，海外进口矿部分补充但依旧紧张，中游冶炼厂在生产利润亏损压力下部分厂家主动减产检修，精炼锌产量下降明显，8月21日中国锌企业会议就提升冶炼产能治理能力达成共识，年度生产计划预期调整近百万吨金属生产，进口锌少量补充，交易所库存+社会库存保持去库态势，下游加工消费依旧疲弱但临近旺季有转好预期，金九银十旺季效应等待证伪。近期宏观叠加基本面利多共振带动价格持续上行，实际全球经济疲软仍有压力，锌市需求现实依旧疲软，建议短期阶段性止盈，等待回调低多机会。</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29185"/>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：区间震荡为主</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(1)库存：8月28日，SHFE仓单库存139344吨，减1270吨；LME仓单库存314250吨，减2925吨。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(2)精废价差：8月28日，Mysteel精废价差1452，收窄93。目前价差在合理价差1448之上。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层面，全球主要经济体经济仍有走弱压力限制价格反弹空间，近期价格反弹基本已消化美联储降息预期。基本面，价格上涨后库存去化放缓，且境外铜库存高位对价格有压制，短期价格不继续看多，或步入区间震荡。</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25981"/>
      <w:r>
        <w:rPr>
          <w:rFonts w:hint="eastAsia" w:ascii="楷体" w:hAnsi="楷体" w:eastAsia="楷体"/>
          <w:b/>
          <w:color w:val="000000" w:themeColor="text1"/>
          <w:sz w:val="24"/>
          <w:szCs w:val="24"/>
          <w14:textFill>
            <w14:solidFill>
              <w14:schemeClr w14:val="tx1"/>
            </w14:solidFill>
          </w14:textFill>
        </w:rPr>
        <w:t>镍：基本面维持弱势，区间震荡为主</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降息乐观预期对盘面提振作用基本消退，而衰退预期尚未被证伪。镍矿方面，印尼镍矿供应仍受到天气干扰，镍矿价格十分坚挺。中间品方面，由于天气影响，中间品供应边际减少，价格系数有所走强。硫酸镍方面，中间品价格企稳带来成本支撑，而受困于库存高企，新能源汽车需求边际回暖难以传导至硫酸镍，硫酸镍价格上下波动有限。供需方面，现货成交氛围未有起色，海内外库存维持趋势性累库。综合而言，宏观情绪反复，过剩格局压制镍价上方空间，而印尼镍矿偏紧形成底部支撑，镍价寻得高冰镍一体化成本线支撑，预计沪镍主力在127000-135000区间震荡。</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29986"/>
      <w:r>
        <w:rPr>
          <w:rFonts w:hint="eastAsia" w:ascii="楷体" w:hAnsi="楷体" w:eastAsia="楷体"/>
          <w:b/>
          <w:color w:val="000000" w:themeColor="text1"/>
          <w:sz w:val="24"/>
          <w:szCs w:val="24"/>
          <w14:textFill>
            <w14:solidFill>
              <w14:schemeClr w14:val="tx1"/>
            </w14:solidFill>
          </w14:textFill>
        </w:rPr>
        <w:t>不锈钢：延续弱需求强成本格局，维持震荡观点</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美联储降息预期已逐渐被盘面消化。镍矿方面，印尼镍矿供应紧张情况仍在持续，印尼镍矿内贸升水居高不下。镍铁方面，镍矿成本坚挺，加上钢厂进入提前备库期，镍铁价格企稳，Mysteel讯，8月27日，华南某主流钢厂高镍铁采购价1000及1010元/镍（到厂含税），成交数万吨，交期9月底。供需方面，下游成交氛围整体仍以刚需采购为主，但仍对金九银十传统旺季有所期待。综合而言，当前不锈钢市场需求未见明显起色，库存消化能力缓慢，价格缺乏向上驱动，与此同时，由于印尼矿端偏紧，成本支撑犹存，期价下方空间也有限，维持震荡观点。</w:t>
      </w:r>
    </w:p>
    <w:p>
      <w:pPr>
        <w:rPr>
          <w:rFonts w:ascii="楷体" w:hAnsi="楷体" w:eastAsia="楷体"/>
          <w:bCs/>
          <w:sz w:val="24"/>
          <w:szCs w:val="24"/>
        </w:rPr>
      </w:pPr>
    </w:p>
    <w:p>
      <w:pPr>
        <w:ind w:left="420" w:leftChars="200"/>
        <w:outlineLvl w:val="1"/>
        <w:rPr>
          <w:rFonts w:ascii="楷体" w:hAnsi="楷体" w:eastAsia="楷体"/>
          <w:b/>
          <w:sz w:val="24"/>
          <w:szCs w:val="24"/>
        </w:rPr>
      </w:pPr>
      <w:bookmarkStart w:id="25" w:name="_Toc19928"/>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硅片龙头涨价，市场情绪有所改善</w:t>
      </w:r>
      <w:bookmarkEnd w:id="25"/>
    </w:p>
    <w:p>
      <w:pPr>
        <w:ind w:left="630" w:leftChars="300"/>
        <w:rPr>
          <w:rFonts w:ascii="楷体" w:hAnsi="楷体" w:eastAsia="楷体"/>
          <w:sz w:val="24"/>
          <w:szCs w:val="24"/>
        </w:rPr>
      </w:pPr>
      <w:r>
        <w:rPr>
          <w:rFonts w:hint="eastAsia" w:ascii="楷体" w:hAnsi="楷体" w:eastAsia="楷体"/>
          <w:sz w:val="24"/>
          <w:szCs w:val="24"/>
        </w:rPr>
        <w:t>8月28日，Si2411主力合约呈震荡走势，收盘价9815元/吨，较上一收盘价涨跌幅-0.30%。从宏观面来看，美联储主席鲍威尔在全球央行年会表态整体偏鸽派，短期市场再次交易降息预期，对工业品市场情绪或有提振。从基本面来看，周内硅片龙头企业宣布涨价，悲观情绪或有改善，但硅片与多晶硅环节依旧处于减产操作，对工业硅实际需求暂未有恢复预期。整体而言，近期市场情绪有所改善，盘面估值整体相对较低，预计进一步大幅下跌空间有限，但宽松格局暂未出现明显改善，且库存压力仍存，对盘面大幅反弹仍有压制，短期盘面维持震荡观点，主力合约参考区间（9300，10000）。策略上，建议可尝试波段操作。</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6" w:name="化工"/>
      <w:r>
        <w:rPr>
          <w:rFonts w:hint="eastAsia" w:ascii="Times New Roman" w:hAnsi="Times New Roman" w:eastAsia="楷体"/>
          <w:b/>
          <w:color w:val="823C0B"/>
          <w:sz w:val="30"/>
          <w:szCs w:val="30"/>
        </w:rPr>
        <w:t xml:space="preserve"> </w:t>
      </w:r>
      <w:bookmarkStart w:id="27" w:name="_Toc6900"/>
      <w:r>
        <w:rPr>
          <w:rFonts w:hint="eastAsia" w:ascii="Times New Roman" w:hAnsi="Times New Roman" w:eastAsia="楷体"/>
          <w:b/>
          <w:color w:val="823C0B"/>
          <w:sz w:val="30"/>
          <w:szCs w:val="30"/>
        </w:rPr>
        <w:t>[化工]</w:t>
      </w:r>
      <w:bookmarkEnd w:id="26"/>
      <w:bookmarkEnd w:id="27"/>
    </w:p>
    <w:p>
      <w:pPr>
        <w:ind w:firstLine="482" w:firstLineChars="200"/>
        <w:outlineLvl w:val="1"/>
        <w:rPr>
          <w:rFonts w:ascii="楷体" w:hAnsi="楷体" w:eastAsia="楷体"/>
          <w:b/>
          <w:sz w:val="24"/>
          <w:szCs w:val="24"/>
        </w:rPr>
      </w:pPr>
      <w:bookmarkStart w:id="28" w:name="_Toc9044"/>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成本支撑坚挺 天胶表现偏强</w:t>
      </w:r>
      <w:bookmarkEnd w:id="28"/>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点评：昨日天胶震荡偏强。目前看，产区季节性上量预期仍存，但泰国地区多地发生洪水，同时海运问题导致物流环节运输受限，进口胶到港量或不及预期，港口去库状态维持，现货溢价短时难以缓解。需求端来看，下游轮胎企业开工率高位维持，半钢胎在海外出口需求旺盛下，开工率高位持稳，对原料补库积极性提高，提振天胶消费。全钢胎消费稳中转好。终端汽车方面，9月车企优惠政策延续。根据工信部最新公布的新车上市名录里面可以看到，多家车企的新车型与换代车型将于近期发售，亦将刺激未来汽车销售增长预期。整体看，近期海外原料价格止跌企稳，对胶价底部支撑未出现进一步恶化。中长线来看，全年天然橡胶依旧处于供小于求的供需格局，建议待回调到位后关注逢低做多的机会。</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29" w:name="_Toc6856"/>
      <w:r>
        <w:rPr>
          <w:rFonts w:hint="eastAsia" w:ascii="Times New Roman" w:hAnsi="Times New Roman" w:eastAsia="楷体"/>
          <w:b/>
          <w:color w:val="000000" w:themeColor="text1"/>
          <w:sz w:val="24"/>
          <w:szCs w:val="24"/>
          <w14:textFill>
            <w14:solidFill>
              <w14:schemeClr w14:val="tx1"/>
            </w14:solidFill>
          </w14:textFill>
        </w:rPr>
        <w:t>聚烯烃：需求未见明显起色 聚烯烃跟随原油价格走势为主</w:t>
      </w:r>
      <w:bookmarkEnd w:id="29"/>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目前聚烯烃仍处于石化厂检修季节，供应端减量，石化库存中性偏高，开工负荷均处于低位，装置检修损失量较高。但聚烯烃整体下游市场需求并不是很好，订单持平偏弱，利润同比更弱，成品库存较高的情况下难以看到大规模的补库，整体处于下游旺季结束阶段，PE下游农膜开工率季节性回落，其余下游需求尚可。PP进口窗口关闭，LL进口利润与PP出口利润盈亏平衡附近。6月份聚烯烃供需格局有继续走弱的预期，主要是供应端后期检修装置减少，供应环比增加，下半年还有新装置投产的预期，其中PP表现的更加明显。在基本面表现平平无奇下，聚烯烃价格走势整体跟随成本端原油波动为主。</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0" w:name="_Toc9121"/>
      <w:r>
        <w:rPr>
          <w:rFonts w:hint="eastAsia" w:ascii="Times New Roman" w:hAnsi="Times New Roman" w:eastAsia="楷体"/>
          <w:b/>
          <w:color w:val="000000" w:themeColor="text1"/>
          <w:sz w:val="24"/>
          <w:szCs w:val="24"/>
          <w14:textFill>
            <w14:solidFill>
              <w14:schemeClr w14:val="tx1"/>
            </w14:solidFill>
          </w14:textFill>
        </w:rPr>
        <w:t>原油：供需忧虑主导，油价寻支撑位</w:t>
      </w:r>
      <w:bookmarkEnd w:id="30"/>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WTI原油主力合约跌幅1.82%，收报74.38美元/桶；布伦特原油主力合约结算价跌幅1.60%，报78.48美元/桶；中国原油期货SC主力合约跌幅1.83%，报551.8元/桶。</w:t>
      </w:r>
    </w:p>
    <w:p>
      <w:pPr>
        <w:ind w:left="630" w:leftChars="300"/>
        <w:rPr>
          <w:rFonts w:hint="eastAsia" w:ascii="楷体" w:hAnsi="楷体" w:eastAsia="楷体"/>
          <w:sz w:val="24"/>
          <w:szCs w:val="24"/>
        </w:rPr>
      </w:pPr>
      <w:r>
        <w:rPr>
          <w:rFonts w:hint="eastAsia" w:ascii="楷体" w:hAnsi="楷体" w:eastAsia="楷体"/>
          <w:sz w:val="24"/>
          <w:szCs w:val="24"/>
        </w:rPr>
        <w:t>利比亚石油供应中断及中东地区局势动荡对国际油价的影响逐步减弱，原油价格继续回落。由于对需求的担忧继续给油价带来压力，市场焦点转向对欧佩克+是否会按计划在下个季度恢复生产。在一项调查中，受访者对此存在分歧，部分预计增产，部分则预计推迟。尽管有预测认为增产可能受限，但欧佩克+仍计划在10月份增产，逐步恢复停产。同时，该组织也强调计划可“暂停或逆转”，特别是在主要消费国经济增长放缓、市场前景恶化的情况下，尽管内部有异议，但大多数代表仍预计将继续恢复产量。</w:t>
      </w:r>
    </w:p>
    <w:p>
      <w:pPr>
        <w:ind w:left="630" w:leftChars="300"/>
        <w:rPr>
          <w:rFonts w:hint="eastAsia" w:ascii="楷体" w:hAnsi="楷体" w:eastAsia="楷体"/>
          <w:sz w:val="24"/>
          <w:szCs w:val="24"/>
        </w:rPr>
      </w:pPr>
      <w:r>
        <w:rPr>
          <w:rFonts w:hint="eastAsia" w:ascii="楷体" w:hAnsi="楷体" w:eastAsia="楷体"/>
          <w:sz w:val="24"/>
          <w:szCs w:val="24"/>
        </w:rPr>
        <w:t>上周美国炼油厂开工率继续上升，商业原油库存在过去的九周第八次减少，同时美国汽油减少而馏分油需求增加。美国至8月23日当周EIA战略石油储备库增加74.5万桶至3.779亿桶，增幅录得2024年6月21日当周以来最大，为连续第37周录得增加。至8月23日当周EIA战略石油储备库存为2022年12月16日当周以来最高。除战略储备外的商业原油库存减少84.6万桶至4.25亿桶，降幅低于预期，比过去五年平均水平低4%。美、布两油在EIA数据公布后一度反弹，但随后再次下跌。</w:t>
      </w:r>
    </w:p>
    <w:p>
      <w:pPr>
        <w:ind w:left="630" w:leftChars="300"/>
        <w:rPr>
          <w:rFonts w:hint="eastAsia" w:ascii="楷体" w:hAnsi="楷体" w:eastAsia="楷体"/>
          <w:sz w:val="24"/>
          <w:szCs w:val="24"/>
        </w:rPr>
      </w:pPr>
      <w:r>
        <w:rPr>
          <w:rFonts w:hint="eastAsia" w:ascii="楷体" w:hAnsi="楷体" w:eastAsia="楷体"/>
          <w:sz w:val="24"/>
          <w:szCs w:val="24"/>
        </w:rPr>
        <w:t>后续关注本周四公布的美国第二季度GDP修正数据以及下周的非农就业报告。原油价格两日回调，市场的关注从地缘政治、美元降息，重新回到原油自身的供需基本面上，主要担心为美国夏季消费旺季结束后，原油需求回落，及欧佩克+恢复增产导致原油供应扩大。原油价格短期内将继续下探下方支撑，但不宜过分看空，如站稳下方支撑应有可能再度上行。</w:t>
      </w:r>
    </w:p>
    <w:p>
      <w:pPr>
        <w:ind w:left="630" w:leftChars="300"/>
        <w:rPr>
          <w:rFonts w:hint="eastAsia" w:ascii="楷体" w:hAnsi="楷体" w:eastAsia="楷体"/>
          <w:sz w:val="24"/>
          <w:szCs w:val="24"/>
        </w:rPr>
      </w:pPr>
      <w:r>
        <w:rPr>
          <w:rFonts w:hint="eastAsia" w:ascii="楷体" w:hAnsi="楷体" w:eastAsia="楷体"/>
          <w:sz w:val="24"/>
          <w:szCs w:val="24"/>
        </w:rPr>
        <w:t>WTI原油主力合约价格短线承压，下方支撑位在73.3-72.9美元/桶；布伦特原油主力合约价格可能测试下方支撑位在77.3-77.0美元/桶；国内原油期货主力合约SC2410价格在550元/吨附近有一定支撑。</w:t>
      </w:r>
    </w:p>
    <w:p>
      <w:pPr>
        <w:ind w:left="630" w:leftChars="300"/>
        <w:rPr>
          <w:rFonts w:hint="eastAsia" w:ascii="楷体" w:hAnsi="楷体" w:eastAsia="楷体"/>
          <w:sz w:val="24"/>
          <w:szCs w:val="24"/>
          <w:lang w:val="en-US" w:eastAsia="zh-CN"/>
        </w:rPr>
      </w:pPr>
    </w:p>
    <w:p>
      <w:pPr>
        <w:ind w:firstLine="482" w:firstLineChars="200"/>
        <w:outlineLvl w:val="1"/>
        <w:rPr>
          <w:rFonts w:ascii="楷体" w:hAnsi="楷体" w:eastAsia="楷体"/>
          <w:b/>
          <w:sz w:val="24"/>
          <w:szCs w:val="24"/>
        </w:rPr>
      </w:pPr>
      <w:bookmarkStart w:id="31" w:name="_Toc6311"/>
      <w:r>
        <w:rPr>
          <w:rFonts w:hint="eastAsia" w:ascii="Times New Roman" w:hAnsi="Times New Roman" w:eastAsia="楷体"/>
          <w:b/>
          <w:color w:val="000000" w:themeColor="text1"/>
          <w:sz w:val="24"/>
          <w:szCs w:val="24"/>
          <w14:textFill>
            <w14:solidFill>
              <w14:schemeClr w14:val="tx1"/>
            </w14:solidFill>
          </w14:textFill>
        </w:rPr>
        <w:t>燃料油及低硫燃料油：原油回调拖累，燃料油期货市场波动加剧</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跟随原油回调，燃料油期货夜盘也出现下跌。燃料油主力合约FU2411跌幅1.27%，报3031元/吨；低硫燃料油主力合约LU2411跌幅1.15%，报4125元/吨；LU2411- FU2411价差为1094元/吨，有所缩窄。</w:t>
      </w:r>
    </w:p>
    <w:p>
      <w:pPr>
        <w:ind w:left="630" w:leftChars="300"/>
        <w:rPr>
          <w:rFonts w:hint="eastAsia" w:ascii="楷体" w:hAnsi="楷体" w:eastAsia="楷体"/>
          <w:sz w:val="24"/>
          <w:szCs w:val="24"/>
        </w:rPr>
      </w:pPr>
      <w:r>
        <w:rPr>
          <w:rFonts w:hint="eastAsia" w:ascii="楷体" w:hAnsi="楷体" w:eastAsia="楷体"/>
          <w:sz w:val="24"/>
          <w:szCs w:val="24"/>
        </w:rPr>
        <w:t>隔夜油价大涨后回调，国产燃料油跟随下行。成本方面，油价回升对燃油价格有一定支撑；供应方面，俄罗斯、中东高硫燃油至亚洲出口量回落，新加坡供给压力改善，高硫燃油供应减少，将使得燃油市场供应压力降低；需求方面，中国炼厂高硫进料需求一般，叠加中东、南亚发电需求处于季节性旺季尾声，高硫燃油需求减少；库存方面，新加坡高低硫燃油库存1923万桶，环比前一周增加6.01%，库存仍处于5年均值下方。</w:t>
      </w:r>
    </w:p>
    <w:p>
      <w:pPr>
        <w:ind w:left="630" w:leftChars="300"/>
        <w:rPr>
          <w:rFonts w:hint="eastAsia" w:ascii="楷体" w:hAnsi="楷体" w:eastAsia="楷体"/>
          <w:sz w:val="24"/>
          <w:szCs w:val="24"/>
        </w:rPr>
      </w:pPr>
      <w:r>
        <w:rPr>
          <w:rFonts w:hint="eastAsia" w:ascii="楷体" w:hAnsi="楷体" w:eastAsia="楷体"/>
          <w:sz w:val="24"/>
          <w:szCs w:val="24"/>
        </w:rPr>
        <w:t>LU2411-FU2411价差继续走强。低硫方面，供应进一步恢复，尤其是来自中东和非洲的新供应量逐步增加，低硫价格有所回调。高硫方面，亚洲供应端伴随着中东到货量的增加，供应紧张程度有所缓解，周内重质燃料油库存下滑，给予了高硫裂解价差一定的支撑。</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2" w:name="_Toc13143"/>
      <w:r>
        <w:rPr>
          <w:rFonts w:hint="eastAsia" w:ascii="Times New Roman" w:hAnsi="Times New Roman" w:eastAsia="楷体"/>
          <w:b/>
          <w:color w:val="000000" w:themeColor="text1"/>
          <w:sz w:val="24"/>
          <w:szCs w:val="24"/>
          <w14:textFill>
            <w14:solidFill>
              <w14:schemeClr w14:val="tx1"/>
            </w14:solidFill>
          </w14:textFill>
        </w:rPr>
        <w:t>沥青：沥青期货价格下跌，供需博弈下现货维稳</w:t>
      </w:r>
      <w:bookmarkEnd w:id="32"/>
      <w:r>
        <w:rPr>
          <w:rFonts w:hint="eastAsia" w:ascii="Times New Roman" w:hAnsi="Times New Roman" w:eastAsia="楷体"/>
          <w:b/>
          <w:color w:val="000000" w:themeColor="text1"/>
          <w:sz w:val="24"/>
          <w:szCs w:val="24"/>
          <w14:textFill>
            <w14:solidFill>
              <w14:schemeClr w14:val="tx1"/>
            </w14:solidFill>
          </w14:textFill>
        </w:rPr>
        <w:t xml:space="preserve"> </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跟随原油回调，沥青期货夜盘也出现下跌。沥青期货主力合约BU2410跌幅0.46%，收3433元/吨。</w:t>
      </w:r>
    </w:p>
    <w:p>
      <w:pPr>
        <w:ind w:left="630" w:leftChars="300"/>
        <w:rPr>
          <w:rFonts w:hint="eastAsia" w:ascii="楷体" w:hAnsi="楷体" w:eastAsia="楷体"/>
          <w:sz w:val="24"/>
          <w:szCs w:val="24"/>
        </w:rPr>
      </w:pPr>
      <w:r>
        <w:rPr>
          <w:rFonts w:hint="eastAsia" w:ascii="楷体" w:hAnsi="楷体" w:eastAsia="楷体"/>
          <w:sz w:val="24"/>
          <w:szCs w:val="24"/>
        </w:rPr>
        <w:t>国内沥青现货市场在8月28日呈现出稳中有升的趋势，现货均价达到3649元/吨，环比上涨4元/吨，涨幅为0.1%。尽管华北地区的沥青现货价格有所下滑，但其他地区的价格大体保持稳定。本周内，国内沥青炼厂产能利用率提升至28.6%，环比增加了4%，沥青周产量也达到了49.4万吨，环比增长15.4%。然而，沥青产能利用率依然处于近五年来的低位，而沥青产量则处于近三年来的中低位水平。</w:t>
      </w:r>
    </w:p>
    <w:p>
      <w:pPr>
        <w:ind w:left="630" w:leftChars="300"/>
        <w:rPr>
          <w:rFonts w:hint="eastAsia" w:ascii="楷体" w:hAnsi="楷体" w:eastAsia="楷体"/>
          <w:sz w:val="24"/>
          <w:szCs w:val="24"/>
        </w:rPr>
      </w:pPr>
      <w:r>
        <w:rPr>
          <w:rFonts w:hint="eastAsia" w:ascii="楷体" w:hAnsi="楷体" w:eastAsia="楷体"/>
          <w:sz w:val="24"/>
          <w:szCs w:val="24"/>
        </w:rPr>
        <w:t>从供应角度来看，国内沥青装置检修量本周降至85.47万吨，较上周下降10.26万吨，降幅达10.72%。尽管9月份沥青排产量预计继续下降，供应端趋于紧张，但沥青的刚性需求恢复缓慢，市场情绪依然谨慎，下游接货意愿不强。今日国内沥青总产量为7.08万吨，环比下降了0.57万吨，降幅为7.45%。</w:t>
      </w:r>
    </w:p>
    <w:p>
      <w:pPr>
        <w:ind w:left="630" w:leftChars="300"/>
        <w:rPr>
          <w:rFonts w:hint="eastAsia" w:ascii="楷体" w:hAnsi="楷体" w:eastAsia="楷体"/>
          <w:sz w:val="24"/>
          <w:szCs w:val="24"/>
        </w:rPr>
      </w:pPr>
      <w:r>
        <w:rPr>
          <w:rFonts w:hint="eastAsia" w:ascii="楷体" w:hAnsi="楷体" w:eastAsia="楷体"/>
          <w:sz w:val="24"/>
          <w:szCs w:val="24"/>
        </w:rPr>
        <w:t>需求方面，国内沥青54家企业的出货量本周总计43.9万吨，环比增加了25.4%。随着施工条件的改善，下游施工活动有所好转，改性沥青的需求也随之增加，69家样本企业的改性沥青产能利用率达到了15.3%，环比上升0.9%。</w:t>
      </w:r>
    </w:p>
    <w:p>
      <w:pPr>
        <w:ind w:left="630" w:leftChars="300"/>
        <w:rPr>
          <w:rFonts w:hint="eastAsia" w:ascii="楷体" w:hAnsi="楷体" w:eastAsia="楷体"/>
          <w:sz w:val="24"/>
          <w:szCs w:val="24"/>
        </w:rPr>
      </w:pPr>
      <w:r>
        <w:rPr>
          <w:rFonts w:hint="eastAsia" w:ascii="楷体" w:hAnsi="楷体" w:eastAsia="楷体"/>
          <w:sz w:val="24"/>
          <w:szCs w:val="24"/>
        </w:rPr>
        <w:t>随着天气转好，沥青市场的需求有所恢复，炼厂月底合同集中提货，性价比高的资源出货为主，各品牌之间的竞争依然激烈。预计短期内沥青现货价格将维持稳定。</w:t>
      </w:r>
    </w:p>
    <w:p>
      <w:pPr>
        <w:ind w:left="630" w:leftChars="300"/>
        <w:rPr>
          <w:rFonts w:hint="eastAsia" w:ascii="楷体" w:hAnsi="楷体" w:eastAsia="楷体"/>
          <w:sz w:val="24"/>
          <w:szCs w:val="24"/>
        </w:rPr>
      </w:pPr>
      <w:r>
        <w:rPr>
          <w:rFonts w:hint="eastAsia" w:ascii="楷体" w:hAnsi="楷体" w:eastAsia="楷体"/>
          <w:sz w:val="24"/>
          <w:szCs w:val="24"/>
        </w:rPr>
        <w:t>短期内，沥青的基本面表现优于原油及燃料油等能源化工品种。若未来原油价格能够企稳回升，沥青期货价格有望脱离自7月以来的下跌趋势。</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3" w:name="_Toc15536"/>
      <w:r>
        <w:rPr>
          <w:rFonts w:hint="eastAsia" w:ascii="Times New Roman" w:hAnsi="Times New Roman" w:eastAsia="楷体"/>
          <w:b/>
          <w:color w:val="000000" w:themeColor="text1"/>
          <w:sz w:val="24"/>
          <w:szCs w:val="24"/>
          <w14:textFill>
            <w14:solidFill>
              <w14:schemeClr w14:val="tx1"/>
            </w14:solidFill>
          </w14:textFill>
        </w:rPr>
        <w:t>PTA：后市仍存累库压力 价格持续改善空间受限</w:t>
      </w:r>
      <w:bookmarkEnd w:id="33"/>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PTA市场氛围依旧偏弱。目前汉邦220万吨装置已重启，恒力石化（大连）250万吨PTA-5装置已检修，9月宁波台化120万吨PTA装置计划月初检修，四川能投100万吨PTA装置计划8月下重启，恒力大连一套220万吨装置计划9月检修。PTA开工率环比变动不大。需求方面聚酯整体库存依旧偏高，终端织造订单在高温天气缓和影响下局部改善，旺季聚酯开工仍有提升空间但可能相对有限。PTA后市或依然存在累库压力。仅供参考。</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4" w:name="_Toc87"/>
      <w:r>
        <w:rPr>
          <w:rFonts w:hint="eastAsia" w:ascii="Times New Roman" w:hAnsi="Times New Roman" w:eastAsia="楷体"/>
          <w:b/>
          <w:color w:val="000000" w:themeColor="text1"/>
          <w:sz w:val="24"/>
          <w:szCs w:val="24"/>
          <w14:textFill>
            <w14:solidFill>
              <w14:schemeClr w14:val="tx1"/>
            </w14:solidFill>
          </w14:textFill>
        </w:rPr>
        <w:t>乙二醇：下游聚酯需求小幅改善 乙二醇或维持震荡走势</w:t>
      </w:r>
      <w:bookmarkEnd w:id="34"/>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sz w:val="24"/>
          <w:szCs w:val="24"/>
        </w:rPr>
        <w:t>近期乙二醇供增需减，市场交投气氛回落，港口到港本周有所延迟，主港乙二醇发货出现回落，乙二醇基差月差周环比小幅走弱。供应方面，乙二醇国内产量回升速度依旧较慢，9月从涉及检修和重启装置统计来看乙二醇月开工率环比变动不大。近期乙二醇内外盘价差缩小，8月下旬乙二醇合约货到港较为集中，港口库存预期回升。需求方面聚酯整体库存依旧偏高，终端织造订单在高温天气缓和影响下局部改善。价格可能维持震荡走势。仅供参考。</w:t>
      </w: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5" w:name="_Toc4734"/>
      <w:r>
        <w:rPr>
          <w:rFonts w:hint="eastAsia" w:ascii="Times New Roman" w:hAnsi="Times New Roman" w:eastAsia="楷体"/>
          <w:b/>
          <w:color w:val="823C0B"/>
          <w:sz w:val="30"/>
          <w:szCs w:val="30"/>
        </w:rPr>
        <w:t>[农产品]</w:t>
      </w:r>
      <w:bookmarkEnd w:id="14"/>
      <w:bookmarkEnd w:id="35"/>
    </w:p>
    <w:p>
      <w:pPr>
        <w:pStyle w:val="93"/>
        <w:spacing w:before="60" w:beforeAutospacing="0" w:after="60" w:afterAutospacing="0"/>
        <w:ind w:left="420" w:leftChars="200"/>
        <w:outlineLvl w:val="1"/>
        <w:rPr>
          <w:rFonts w:hint="eastAsia" w:ascii="楷体" w:hAnsi="楷体" w:eastAsia="楷体"/>
          <w:b/>
        </w:rPr>
      </w:pPr>
      <w:bookmarkStart w:id="36" w:name="_Toc4132"/>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华北现货带动期价震荡调整</w:t>
      </w:r>
      <w:bookmarkEnd w:id="36"/>
    </w:p>
    <w:p>
      <w:pPr>
        <w:pStyle w:val="93"/>
        <w:spacing w:before="60" w:beforeAutospacing="0" w:after="60" w:afterAutospacing="0"/>
        <w:ind w:left="630" w:leftChars="300"/>
        <w:rPr>
          <w:rFonts w:hint="eastAsia" w:ascii="楷体" w:hAnsi="楷体" w:eastAsia="楷体"/>
        </w:rPr>
      </w:pPr>
      <w:r>
        <w:rPr>
          <w:rFonts w:hint="eastAsia" w:ascii="楷体" w:hAnsi="楷体" w:eastAsia="楷体"/>
        </w:rPr>
        <w:t>对于玉米而言，在近期期价反弹过程中，11月和1月合约表现相对突出，这主要源于两个方面的原因，其一是市场传言称国家有意控制四季度进口谷物数量，其二是市场担心新旧作衔接问题，因市场预期中的贸易商去库并未出现，反而是中下游库存持续下降，导致各地现货均出现上涨苗头。在这种情况下，我们可以认为市场利空已经在很大程度上得到反映，接下来需要留意的是新作上市压力预期，但考虑到今年天气异常带来潜在的减产，不排除这一问题让位于现货，再加上市场对下一年度供需预估较当前年度紧张，甚至不排除市场逐步趋于乐观，提前进入补库周期的可能性。综上所述，我们维持谨慎看多观点，建议谨慎投资者观望，激进投资者可以考虑持有前期多单。</w:t>
      </w:r>
    </w:p>
    <w:p>
      <w:pPr>
        <w:pStyle w:val="93"/>
        <w:spacing w:before="60" w:beforeAutospacing="0" w:after="60" w:afterAutospacing="0"/>
        <w:ind w:left="630" w:leftChars="300"/>
        <w:rPr>
          <w:rFonts w:hint="eastAsia" w:ascii="楷体" w:hAnsi="楷体" w:eastAsia="楷体"/>
          <w:lang w:val="en-US" w:eastAsia="zh-CN"/>
        </w:rPr>
      </w:pPr>
      <w:r>
        <w:rPr>
          <w:rFonts w:hint="eastAsia" w:ascii="楷体" w:hAnsi="楷体" w:eastAsia="楷体"/>
        </w:rPr>
        <w:t>对于淀粉而言，近期淀粉-玉米价差除近月外多有走扩，主要源于影响价差的三个方面因素均转向利多，其一是行业供需趋于改善即行业库存继续下滑，其二是副产品端因外盘美豆带动国内蛋白粕继续弱势，其三是原料成本端华北玉米率先反弹。再加上淀粉现货基差高企，而盘面生产利润为负，淀粉-玉米价差有望继续走扩。综上所述，我们维持谨慎看多观点，建议谨慎投资者观望或持有做扩淀粉-玉米价差，激进投资者可以考虑持有前期多单。</w:t>
      </w:r>
    </w:p>
    <w:p>
      <w:pPr>
        <w:pStyle w:val="93"/>
        <w:spacing w:before="60" w:beforeAutospacing="0" w:after="60" w:afterAutospacing="0"/>
        <w:ind w:left="630" w:leftChars="300"/>
        <w:rPr>
          <w:rFonts w:hint="eastAsia" w:ascii="楷体" w:hAnsi="楷体" w:eastAsia="楷体"/>
          <w:lang w:val="en-US" w:eastAsia="zh-CN"/>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7" w:name="_Toc22670"/>
      <w:r>
        <w:rPr>
          <w:rFonts w:hint="eastAsia" w:ascii="楷体" w:hAnsi="楷体" w:eastAsia="楷体"/>
          <w:b/>
          <w:bCs/>
          <w:color w:val="000000" w:themeColor="text1"/>
          <w14:textFill>
            <w14:solidFill>
              <w14:schemeClr w14:val="tx1"/>
            </w14:solidFill>
          </w14:textFill>
        </w:rPr>
        <w:t>畜禽养殖：生猪期现背离带动近月基差显著走弱</w:t>
      </w:r>
      <w:bookmarkEnd w:id="37"/>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从期货盘面表现来看，整体转为近弱远强，近月受现货带动大幅下跌，因市场担心现货高点已经出现，后期将持续弱势；而远月相对抗跌，主要原因有二，其一是前期已经大幅下跌，在一定程度上反映后期供需改善预期，其二是市场看跌预期或导致养殖户抑制供应端，缓解远期供需过剩。在理解盘面的基础上看，远月关注供需改善幅度及其饲料成本预期，考虑到远月期价贴近，目前证伪难度较大；近月更多关注节奏，特别是生猪出栏恢复的进度与生猪出栏体重的变化，这里面需要跟过去两年做个比较，2022年更多源于市场压栏和新冠疫情，2023年更多源于非瘟疫情和资金链因素。与过去两年相比，当前生猪出栏体重逼近2022年，再加上近期肥标价差出现较大回落，使得市场担心现货高点已经出现，有望带动一波出栏，继而通过现货带动期价回落，但也暂不宜过分悲观，因今年新生仔猪数量底部出现在3-4月，对应生猪出栏量大致在9-10月。综上所述，我们转为中性观点，建议投资者前期近月合约多单离场后暂以观望为宜。</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鸡蛋而言，期价结构整体表现为近强远弱，近月更多受现货和基差支撑，而远月弱势主要源于两个方面，其一是供应恢复的预期，这可以从大小蛋价差处于历史高位得到印证，其二是饲料成本的下跌，在同等利润水平下鸡蛋现货绝对价格更低。从市场逻辑出发，主要关注这两个方面会否存在问题，后者即饲料成本目前看豆粕和玉米依然弱势，暂时无法证伪，但前者可能存在问题，今年年后以来现货整体表现强于预期，应该更多源于供应端的因素，这可能源于春节前后补栏积极性下降而淘汰积极性上升，因当时蛋鸡苗价格处于历史低位，而多家机构数据均显示去年底以来蛋鸡淘汰量同比大幅增加。而就当下而言，鸡蛋现货仍处于季节性旺季阶段，虽然市场预期悲观，但现货持续坚挺，虽绝对价格尚未超过往年同期，但对应的养殖利润已是历史同期最高水平，因此，我们基于现货基差支撑，仍相对看好近月合约。综上所述，我们维持谨慎看多观点，建议投资者持有旺季合约多单。</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8" w:name="_Toc25130"/>
      <w:r>
        <w:rPr>
          <w:rFonts w:hint="eastAsia" w:ascii="楷体" w:hAnsi="楷体" w:eastAsia="楷体"/>
          <w:b/>
          <w:bCs/>
          <w:color w:val="000000" w:themeColor="text1"/>
          <w14:textFill>
            <w14:solidFill>
              <w14:schemeClr w14:val="tx1"/>
            </w14:solidFill>
          </w14:textFill>
        </w:rPr>
        <w:t>白糖：震荡偏强</w:t>
      </w:r>
      <w:bookmarkEnd w:id="38"/>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隔日外盘纽约原糖主力合约和伦敦白砂糖主力合约分别下跌0.41%和0.84%。巴西圣保罗州甘蔗田地发生火灾，巴西最大的糖业集团Raizen SA其子公司Santa Elisa工厂因此停工数日。圣保罗州是目前为止巴西最大的糖生产州。巴西是全球最大的糖生产国和出口国。数月无雨后的极端干燥天气导致意外火灾事故激增，火势迅速蔓延到数千公顷的甘蔗田，大火从周四一直烧到周末。巴西糖和乙醇行业组织UNICA称，将在未来几日开始对蔗田的损失情况进行评估。国内隔日夜盘，白糖主力01合约上涨0.12%。久跌后基差过大，叠加外盘暴涨走势，预计白糖震荡偏强。</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9" w:name="_Toc26621"/>
      <w:r>
        <w:rPr>
          <w:rFonts w:hint="eastAsia" w:ascii="楷体" w:hAnsi="楷体" w:eastAsia="楷体"/>
          <w:b/>
          <w:bCs/>
          <w:color w:val="000000" w:themeColor="text1"/>
          <w14:textFill>
            <w14:solidFill>
              <w14:schemeClr w14:val="tx1"/>
            </w14:solidFill>
          </w14:textFill>
        </w:rPr>
        <w:t>棉花：预计郑棉震荡整理，背靠1.4万逢高布局空单</w:t>
      </w:r>
      <w:bookmarkEnd w:id="39"/>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日外盘ICE美棉主力下跌2.11%，失守70美分/磅关口。美国农业部(USDA)在每周作物生长报告中公布称，截至2024年8月25日当周，美国棉花优良率为40%,前一周为42%,上年同期为33%。当周，美国棉花结铃率为89%,上一周为84%,上年同期为87%,五年均值为88%。当周，美国棉花盛铃率为25%,上一周为19%,上年同期为23%,五年均值为23%。国内隔日夜盘，郑棉主力2501主力合约下跌0.22%。随着金九的临近，纺织订单出现边际回暖。郑棉在长期下滑过程中大量利空释放，盘面也积累了大量空头获利资金。近期技术指标略有好转，空头止盈，叠加订单的边际回暖，2501主力合约反弹。但进口棉花棉纱维持高位，新季丰产预期未改，反弹高度受限，逢高轻仓试空。</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0" w:name="_Toc19717"/>
      <w:r>
        <w:rPr>
          <w:rFonts w:hint="eastAsia" w:ascii="楷体" w:hAnsi="楷体" w:eastAsia="楷体"/>
          <w:b/>
          <w:bCs/>
          <w:color w:val="000000" w:themeColor="text1"/>
          <w14:textFill>
            <w14:solidFill>
              <w14:schemeClr w14:val="tx1"/>
            </w14:solidFill>
          </w14:textFill>
        </w:rPr>
        <w:t>蛋白粕：续涨缺乏支撑，再次下跌</w:t>
      </w:r>
      <w:bookmarkEnd w:id="40"/>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美豆下跌1.01%，国内夜盘豆二下跌0.31%，豆粕下跌0.10%，菜籽下跌0.40%，菜粕上涨0.04%。进口大豆到港仍旧偏多，国内油厂开机率维持中等偏高水平，国内大豆和豆粕库存继续累积。但下游豆粕需求有所提升，国内油厂大豆和豆粕库存增加但边际增速放缓，国内豆粕供强需弱格局正逐步改善。综合来看，美豆及国内粕类当前处于震荡筑底阶段，继续看跌但下跌空间有限，看空不做空。</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1" w:name="_Toc24343"/>
      <w:r>
        <w:rPr>
          <w:rFonts w:hint="eastAsia" w:ascii="楷体" w:hAnsi="楷体" w:eastAsia="楷体"/>
          <w:b/>
          <w:bCs/>
          <w:color w:val="000000" w:themeColor="text1"/>
          <w14:textFill>
            <w14:solidFill>
              <w14:schemeClr w14:val="tx1"/>
            </w14:solidFill>
          </w14:textFill>
        </w:rPr>
        <w:t>油脂类：豆油延续涨势，菜油跟随棕榈油下跌</w:t>
      </w:r>
      <w:bookmarkEnd w:id="41"/>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夜盘豆油上涨0.26%，菜油下跌0.18%，棕榈油下跌0.45%，棕油重回8000以下。棕油连续上涨后多头获利平仓，高位震荡整理，由于外盘马棕油价格仍有所支撑，留意此次下跌后是否能再度反弹。国内市场，国内豆油成交增加，因高校开学以及中秋需求提振。国内油脂期货更多跟随国际油脂而动，消费旺季来临，整体油脂偏强势头延续。短线偏多思路，快进快出。</w:t>
      </w:r>
    </w:p>
    <w:p>
      <w:pPr>
        <w:pStyle w:val="93"/>
        <w:spacing w:before="0" w:beforeAutospacing="0" w:after="60" w:afterAutospacing="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42" w:name="_Toc14157"/>
      <w:r>
        <w:rPr>
          <w:rFonts w:hint="eastAsia" w:ascii="Times New Roman" w:hAnsi="Times New Roman" w:eastAsia="楷体"/>
          <w:b/>
          <w:color w:val="823C0B"/>
          <w:sz w:val="30"/>
          <w:szCs w:val="30"/>
        </w:rPr>
        <w:t>[指数]</w:t>
      </w:r>
      <w:bookmarkEnd w:id="42"/>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3" w:name="_Toc19861"/>
      <w:r>
        <w:rPr>
          <w:rFonts w:hint="eastAsia" w:ascii="Times New Roman" w:hAnsi="Times New Roman" w:eastAsia="楷体"/>
          <w:b/>
          <w:color w:val="000000" w:themeColor="text1"/>
          <w:sz w:val="24"/>
          <w:szCs w:val="24"/>
          <w14:textFill>
            <w14:solidFill>
              <w14:schemeClr w14:val="tx1"/>
            </w14:solidFill>
          </w14:textFill>
        </w:rPr>
        <w:t>集运指数（欧线）：货量季节性转弱为船司带来降价压力，期价下跌</w:t>
      </w:r>
      <w:bookmarkEnd w:id="43"/>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期价下行，12合约跌6.51%至2420.0。近期马士基宣布下调欧线旺季附加费PSS，从3000/4000降至1500/3000，9月15日生效。8月28日，北方国际集装箱运价指数（TCI，天津-欧洲基本港）跌3.25%至2034.40，周环比下跌8.95%。8月23日，上海港出口至欧洲基本港市场运价（海运及海运附加费）为4400美元/TEU，较上期下跌4.6%。欧洲经济前景并不乐观，需求季节性转弱，货量减弱为船司带来降价压力，欧线现货运价维持跌势。期价波动或加剧，留意短期风险，建议投资者谨慎操作。</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4" w:name="_Toc72481108"/>
      <w:bookmarkStart w:id="45" w:name="_Toc12779"/>
      <w:bookmarkStart w:id="46" w:name="_Toc98426751"/>
      <w:bookmarkStart w:id="47" w:name="_Toc19667"/>
      <w:bookmarkStart w:id="48" w:name="_Toc71212556"/>
      <w:r>
        <w:rPr>
          <w:rFonts w:ascii="Times New Roman" w:hAnsi="Times New Roman" w:eastAsia="楷体"/>
          <w:b/>
          <w:color w:val="411D05"/>
          <w:sz w:val="30"/>
          <w:szCs w:val="30"/>
        </w:rPr>
        <w:t>免责声明</w:t>
      </w:r>
      <w:bookmarkEnd w:id="44"/>
      <w:bookmarkEnd w:id="45"/>
      <w:bookmarkEnd w:id="46"/>
      <w:bookmarkEnd w:id="47"/>
      <w:bookmarkEnd w:id="48"/>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2024年8月29日星期四</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5EB"/>
    <w:rsid w:val="00CB2FD2"/>
    <w:rsid w:val="00CB3015"/>
    <w:rsid w:val="00CB60E6"/>
    <w:rsid w:val="00CB657C"/>
    <w:rsid w:val="00CC03C4"/>
    <w:rsid w:val="00CC3E40"/>
    <w:rsid w:val="00CC3FFA"/>
    <w:rsid w:val="00CC6C03"/>
    <w:rsid w:val="00CD17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137E06"/>
    <w:rsid w:val="01375C3E"/>
    <w:rsid w:val="01954D8D"/>
    <w:rsid w:val="02E32A5D"/>
    <w:rsid w:val="035D5749"/>
    <w:rsid w:val="03A507DC"/>
    <w:rsid w:val="04C17862"/>
    <w:rsid w:val="04E41B77"/>
    <w:rsid w:val="057D13AE"/>
    <w:rsid w:val="064116B8"/>
    <w:rsid w:val="064A667C"/>
    <w:rsid w:val="06B2613D"/>
    <w:rsid w:val="06B753E3"/>
    <w:rsid w:val="07321D04"/>
    <w:rsid w:val="08A51999"/>
    <w:rsid w:val="09B849A4"/>
    <w:rsid w:val="09F160E3"/>
    <w:rsid w:val="0A9E0927"/>
    <w:rsid w:val="0AC64130"/>
    <w:rsid w:val="0B42525D"/>
    <w:rsid w:val="0BF11AD7"/>
    <w:rsid w:val="0C1F7DEE"/>
    <w:rsid w:val="0C88769D"/>
    <w:rsid w:val="0CDE660D"/>
    <w:rsid w:val="0D032A7C"/>
    <w:rsid w:val="0DB77106"/>
    <w:rsid w:val="0DCE2D64"/>
    <w:rsid w:val="0E955A36"/>
    <w:rsid w:val="0F662138"/>
    <w:rsid w:val="0F9B0CE9"/>
    <w:rsid w:val="0FF35275"/>
    <w:rsid w:val="100732C8"/>
    <w:rsid w:val="10DA6205"/>
    <w:rsid w:val="10E86139"/>
    <w:rsid w:val="111441F0"/>
    <w:rsid w:val="113D3FD2"/>
    <w:rsid w:val="121F7D21"/>
    <w:rsid w:val="129B2E20"/>
    <w:rsid w:val="12AA5DF8"/>
    <w:rsid w:val="12C54559"/>
    <w:rsid w:val="12CB3DD7"/>
    <w:rsid w:val="132A04C1"/>
    <w:rsid w:val="1330029C"/>
    <w:rsid w:val="134E6356"/>
    <w:rsid w:val="13AE24B4"/>
    <w:rsid w:val="14D51A3C"/>
    <w:rsid w:val="15364A7C"/>
    <w:rsid w:val="15602ADB"/>
    <w:rsid w:val="15947E4C"/>
    <w:rsid w:val="15D52593"/>
    <w:rsid w:val="1626611D"/>
    <w:rsid w:val="16E2497F"/>
    <w:rsid w:val="17A736B0"/>
    <w:rsid w:val="18A2004D"/>
    <w:rsid w:val="19415809"/>
    <w:rsid w:val="197E6634"/>
    <w:rsid w:val="1B7329E7"/>
    <w:rsid w:val="1B8A2034"/>
    <w:rsid w:val="1BB46C31"/>
    <w:rsid w:val="1BC72FF7"/>
    <w:rsid w:val="1D03226A"/>
    <w:rsid w:val="1D5030CD"/>
    <w:rsid w:val="1D876087"/>
    <w:rsid w:val="1DFF64E4"/>
    <w:rsid w:val="1ECB51CD"/>
    <w:rsid w:val="1F515CF1"/>
    <w:rsid w:val="1FBD6B68"/>
    <w:rsid w:val="1FDC1B35"/>
    <w:rsid w:val="1FDD0CDB"/>
    <w:rsid w:val="2056595D"/>
    <w:rsid w:val="207554B7"/>
    <w:rsid w:val="20AE4DE8"/>
    <w:rsid w:val="21194658"/>
    <w:rsid w:val="216834DE"/>
    <w:rsid w:val="21996AC1"/>
    <w:rsid w:val="219F3EE2"/>
    <w:rsid w:val="21F57098"/>
    <w:rsid w:val="22BA3902"/>
    <w:rsid w:val="22BB5089"/>
    <w:rsid w:val="22EF0361"/>
    <w:rsid w:val="233407F6"/>
    <w:rsid w:val="23D146B7"/>
    <w:rsid w:val="240817CF"/>
    <w:rsid w:val="24321B2E"/>
    <w:rsid w:val="244B21DE"/>
    <w:rsid w:val="245C7DFE"/>
    <w:rsid w:val="247F3074"/>
    <w:rsid w:val="24B82D9D"/>
    <w:rsid w:val="251328EC"/>
    <w:rsid w:val="254016F5"/>
    <w:rsid w:val="258A2E5C"/>
    <w:rsid w:val="25B924F3"/>
    <w:rsid w:val="25E06B30"/>
    <w:rsid w:val="268419CF"/>
    <w:rsid w:val="26AC2D80"/>
    <w:rsid w:val="26F95364"/>
    <w:rsid w:val="293961B5"/>
    <w:rsid w:val="29A303B9"/>
    <w:rsid w:val="2B9C319C"/>
    <w:rsid w:val="2C1D776C"/>
    <w:rsid w:val="2C453820"/>
    <w:rsid w:val="2C527F9F"/>
    <w:rsid w:val="2C6C12B9"/>
    <w:rsid w:val="2CA93C52"/>
    <w:rsid w:val="2D912E3A"/>
    <w:rsid w:val="2DC02C2B"/>
    <w:rsid w:val="2DE440F7"/>
    <w:rsid w:val="2E6F25DB"/>
    <w:rsid w:val="2E805E2F"/>
    <w:rsid w:val="2F412AB7"/>
    <w:rsid w:val="2FA14A50"/>
    <w:rsid w:val="2FA70F17"/>
    <w:rsid w:val="30CB447B"/>
    <w:rsid w:val="3115573F"/>
    <w:rsid w:val="32951C0D"/>
    <w:rsid w:val="32F131F1"/>
    <w:rsid w:val="33CE5AF4"/>
    <w:rsid w:val="33D72F2D"/>
    <w:rsid w:val="340E7198"/>
    <w:rsid w:val="34A75784"/>
    <w:rsid w:val="3581551C"/>
    <w:rsid w:val="35947F79"/>
    <w:rsid w:val="35D65FDD"/>
    <w:rsid w:val="36C14F46"/>
    <w:rsid w:val="36C44D71"/>
    <w:rsid w:val="373F75CC"/>
    <w:rsid w:val="37C101D4"/>
    <w:rsid w:val="38F320AA"/>
    <w:rsid w:val="38FB27F3"/>
    <w:rsid w:val="39584559"/>
    <w:rsid w:val="399D40A5"/>
    <w:rsid w:val="39E5435C"/>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E419C"/>
    <w:rsid w:val="3EFE09FD"/>
    <w:rsid w:val="3F032E01"/>
    <w:rsid w:val="3F345DBE"/>
    <w:rsid w:val="40164730"/>
    <w:rsid w:val="40F15753"/>
    <w:rsid w:val="41F950F8"/>
    <w:rsid w:val="428A4A5E"/>
    <w:rsid w:val="42EB3BA1"/>
    <w:rsid w:val="42F51780"/>
    <w:rsid w:val="43F11831"/>
    <w:rsid w:val="43F63E0D"/>
    <w:rsid w:val="44092E2E"/>
    <w:rsid w:val="441077D2"/>
    <w:rsid w:val="44396064"/>
    <w:rsid w:val="458C38B3"/>
    <w:rsid w:val="459609D9"/>
    <w:rsid w:val="45A37566"/>
    <w:rsid w:val="45CF0A85"/>
    <w:rsid w:val="46194A11"/>
    <w:rsid w:val="461E2AF1"/>
    <w:rsid w:val="47752ACA"/>
    <w:rsid w:val="47A71483"/>
    <w:rsid w:val="47C813F2"/>
    <w:rsid w:val="48352178"/>
    <w:rsid w:val="489B63EF"/>
    <w:rsid w:val="48D7317F"/>
    <w:rsid w:val="4953255E"/>
    <w:rsid w:val="49BF13F0"/>
    <w:rsid w:val="49D75468"/>
    <w:rsid w:val="49E169F0"/>
    <w:rsid w:val="4A4A74EF"/>
    <w:rsid w:val="4A6F6249"/>
    <w:rsid w:val="4AA77B51"/>
    <w:rsid w:val="4AB74C38"/>
    <w:rsid w:val="4B14426D"/>
    <w:rsid w:val="4B6224E5"/>
    <w:rsid w:val="4B8C4A56"/>
    <w:rsid w:val="4BAB6225"/>
    <w:rsid w:val="4BF97936"/>
    <w:rsid w:val="4C2C4D07"/>
    <w:rsid w:val="4C457E30"/>
    <w:rsid w:val="4CAC2FB1"/>
    <w:rsid w:val="4D2A3925"/>
    <w:rsid w:val="4D597189"/>
    <w:rsid w:val="4DB20386"/>
    <w:rsid w:val="4DF02D90"/>
    <w:rsid w:val="4E665CB5"/>
    <w:rsid w:val="4EB84B21"/>
    <w:rsid w:val="4F271764"/>
    <w:rsid w:val="4F7D0512"/>
    <w:rsid w:val="4FAF4829"/>
    <w:rsid w:val="4FBA2B77"/>
    <w:rsid w:val="4FD46E6F"/>
    <w:rsid w:val="5005695E"/>
    <w:rsid w:val="50286811"/>
    <w:rsid w:val="50700F42"/>
    <w:rsid w:val="50B838CE"/>
    <w:rsid w:val="50ED1DE1"/>
    <w:rsid w:val="51266B84"/>
    <w:rsid w:val="51642661"/>
    <w:rsid w:val="5191036A"/>
    <w:rsid w:val="52465DB8"/>
    <w:rsid w:val="52940E89"/>
    <w:rsid w:val="546B5509"/>
    <w:rsid w:val="548642E9"/>
    <w:rsid w:val="54A17941"/>
    <w:rsid w:val="54C12E33"/>
    <w:rsid w:val="55633225"/>
    <w:rsid w:val="556D6DC3"/>
    <w:rsid w:val="563B25E1"/>
    <w:rsid w:val="566A208A"/>
    <w:rsid w:val="56DD4D3A"/>
    <w:rsid w:val="57555A7B"/>
    <w:rsid w:val="5770382C"/>
    <w:rsid w:val="57846909"/>
    <w:rsid w:val="57CB522F"/>
    <w:rsid w:val="57F46FBE"/>
    <w:rsid w:val="58042686"/>
    <w:rsid w:val="58246D5D"/>
    <w:rsid w:val="58EC5960"/>
    <w:rsid w:val="58F400B4"/>
    <w:rsid w:val="59151C86"/>
    <w:rsid w:val="59732982"/>
    <w:rsid w:val="598F0769"/>
    <w:rsid w:val="59C52328"/>
    <w:rsid w:val="5AD37D8A"/>
    <w:rsid w:val="5AF87BF9"/>
    <w:rsid w:val="5B0F1B49"/>
    <w:rsid w:val="5B906095"/>
    <w:rsid w:val="5BC6560B"/>
    <w:rsid w:val="5BF60A75"/>
    <w:rsid w:val="5C813B75"/>
    <w:rsid w:val="5C9F2D01"/>
    <w:rsid w:val="5D3F3466"/>
    <w:rsid w:val="5D5617A6"/>
    <w:rsid w:val="5D716329"/>
    <w:rsid w:val="5EA23F15"/>
    <w:rsid w:val="5EA7685B"/>
    <w:rsid w:val="5ED40954"/>
    <w:rsid w:val="5EFA4E95"/>
    <w:rsid w:val="60BE22C5"/>
    <w:rsid w:val="612C30C5"/>
    <w:rsid w:val="619A2BBF"/>
    <w:rsid w:val="61DF02D0"/>
    <w:rsid w:val="61FB37A1"/>
    <w:rsid w:val="62710E5F"/>
    <w:rsid w:val="62AD0966"/>
    <w:rsid w:val="63735B47"/>
    <w:rsid w:val="63FF1EA7"/>
    <w:rsid w:val="64C32497"/>
    <w:rsid w:val="669D0EEA"/>
    <w:rsid w:val="66B64FC1"/>
    <w:rsid w:val="66C861F9"/>
    <w:rsid w:val="66D04BBC"/>
    <w:rsid w:val="67655BF9"/>
    <w:rsid w:val="678C3343"/>
    <w:rsid w:val="67C6389B"/>
    <w:rsid w:val="685D4EEE"/>
    <w:rsid w:val="68AE1587"/>
    <w:rsid w:val="68CC4906"/>
    <w:rsid w:val="68D53E8D"/>
    <w:rsid w:val="699C76C5"/>
    <w:rsid w:val="6A194855"/>
    <w:rsid w:val="6A2F056E"/>
    <w:rsid w:val="6B292599"/>
    <w:rsid w:val="6D9172E5"/>
    <w:rsid w:val="6DF1703F"/>
    <w:rsid w:val="6E133456"/>
    <w:rsid w:val="6ECB7DD2"/>
    <w:rsid w:val="6F123DD8"/>
    <w:rsid w:val="6F1E315D"/>
    <w:rsid w:val="6F2A3FC1"/>
    <w:rsid w:val="6F79454F"/>
    <w:rsid w:val="6FE61065"/>
    <w:rsid w:val="70675779"/>
    <w:rsid w:val="70C135EC"/>
    <w:rsid w:val="712C7DE8"/>
    <w:rsid w:val="713E0334"/>
    <w:rsid w:val="716F5E64"/>
    <w:rsid w:val="72417AFE"/>
    <w:rsid w:val="72585CB5"/>
    <w:rsid w:val="729B5F03"/>
    <w:rsid w:val="72D92B78"/>
    <w:rsid w:val="72F62A89"/>
    <w:rsid w:val="731B289D"/>
    <w:rsid w:val="736D22BA"/>
    <w:rsid w:val="737357AF"/>
    <w:rsid w:val="74163BE4"/>
    <w:rsid w:val="74A928A6"/>
    <w:rsid w:val="75292EAC"/>
    <w:rsid w:val="755A5FEF"/>
    <w:rsid w:val="75775016"/>
    <w:rsid w:val="758E0106"/>
    <w:rsid w:val="7626762C"/>
    <w:rsid w:val="763869A4"/>
    <w:rsid w:val="7667781E"/>
    <w:rsid w:val="76DD4C80"/>
    <w:rsid w:val="778F5135"/>
    <w:rsid w:val="77B53D6B"/>
    <w:rsid w:val="77D54B08"/>
    <w:rsid w:val="78431DDA"/>
    <w:rsid w:val="784F7772"/>
    <w:rsid w:val="785868AD"/>
    <w:rsid w:val="78713929"/>
    <w:rsid w:val="78E55995"/>
    <w:rsid w:val="79267C0B"/>
    <w:rsid w:val="793F61E8"/>
    <w:rsid w:val="79C90FB7"/>
    <w:rsid w:val="7A25684F"/>
    <w:rsid w:val="7A2847FC"/>
    <w:rsid w:val="7A4975BA"/>
    <w:rsid w:val="7A5B105F"/>
    <w:rsid w:val="7A9E5DA7"/>
    <w:rsid w:val="7ABE4B56"/>
    <w:rsid w:val="7B264F79"/>
    <w:rsid w:val="7B3E5659"/>
    <w:rsid w:val="7B471C9D"/>
    <w:rsid w:val="7B4D21AB"/>
    <w:rsid w:val="7BCC4162"/>
    <w:rsid w:val="7C490DB7"/>
    <w:rsid w:val="7C7E37F7"/>
    <w:rsid w:val="7CD80967"/>
    <w:rsid w:val="7D0C2828"/>
    <w:rsid w:val="7D902239"/>
    <w:rsid w:val="7EAF7817"/>
    <w:rsid w:val="7F4E30FB"/>
    <w:rsid w:val="7F78012E"/>
    <w:rsid w:val="7F7B591C"/>
    <w:rsid w:val="7FC51DE6"/>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2024-08-29T02:51:12Z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