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_Toc5768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_Toc67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_Toc20314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_Toc29872 </w:instrText>
          </w:r>
          <w:r>
            <w:rPr>
              <w:bCs/>
            </w:rPr>
            <w:fldChar w:fldCharType="separate"/>
          </w:r>
          <w:r>
            <w:rPr>
              <w:rFonts w:hint="eastAsia" w:ascii="Times New Roman" w:hAnsi="Times New Roman" w:eastAsia="楷体"/>
              <w:szCs w:val="24"/>
            </w:rPr>
            <w:t>贵金属：美国第二季度实际GDP略微上修，贵金属价格小幅上涨</w:t>
          </w:r>
          <w:r>
            <w:rPr>
              <w:bCs/>
            </w:rPr>
            <w:fldChar w:fldCharType="end"/>
          </w:r>
        </w:p>
        <w:p>
          <w:pPr>
            <w:pStyle w:val="59"/>
            <w:tabs>
              <w:tab w:val="right" w:leader="dot" w:pos="8306"/>
            </w:tabs>
          </w:pPr>
          <w:r>
            <w:rPr>
              <w:bCs/>
            </w:rPr>
            <w:fldChar w:fldCharType="begin"/>
          </w:r>
          <w:r>
            <w:rPr>
              <w:bCs/>
            </w:rPr>
            <w:instrText xml:space="preserve"> HYPERLINK \l _Toc26253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_Toc24136 </w:instrText>
          </w:r>
          <w:r>
            <w:rPr>
              <w:bCs/>
            </w:rPr>
            <w:fldChar w:fldCharType="separate"/>
          </w:r>
          <w:r>
            <w:rPr>
              <w:rFonts w:hint="eastAsia" w:ascii="楷体" w:hAnsi="楷体" w:eastAsia="楷体"/>
              <w:szCs w:val="24"/>
            </w:rPr>
            <w:t>碳酸锂：锂企业绩承压，期价小幅上涨</w:t>
          </w:r>
          <w:r>
            <w:rPr>
              <w:bCs/>
            </w:rPr>
            <w:fldChar w:fldCharType="end"/>
          </w:r>
        </w:p>
        <w:p>
          <w:pPr>
            <w:pStyle w:val="74"/>
            <w:tabs>
              <w:tab w:val="right" w:leader="dot" w:pos="8306"/>
            </w:tabs>
          </w:pPr>
          <w:r>
            <w:rPr>
              <w:bCs/>
            </w:rPr>
            <w:fldChar w:fldCharType="begin"/>
          </w:r>
          <w:r>
            <w:rPr>
              <w:bCs/>
            </w:rPr>
            <w:instrText xml:space="preserve"> HYPERLINK \l _Toc30293 </w:instrText>
          </w:r>
          <w:r>
            <w:rPr>
              <w:bCs/>
            </w:rPr>
            <w:fldChar w:fldCharType="separate"/>
          </w:r>
          <w:r>
            <w:rPr>
              <w:rFonts w:hint="eastAsia" w:ascii="楷体" w:hAnsi="楷体" w:eastAsia="楷体"/>
              <w:szCs w:val="24"/>
            </w:rPr>
            <w:t>铝：区间弱势整理</w:t>
          </w:r>
          <w:r>
            <w:rPr>
              <w:bCs/>
            </w:rPr>
            <w:fldChar w:fldCharType="end"/>
          </w:r>
        </w:p>
        <w:p>
          <w:pPr>
            <w:pStyle w:val="74"/>
            <w:tabs>
              <w:tab w:val="right" w:leader="dot" w:pos="8306"/>
            </w:tabs>
          </w:pPr>
          <w:r>
            <w:rPr>
              <w:bCs/>
            </w:rPr>
            <w:fldChar w:fldCharType="begin"/>
          </w:r>
          <w:r>
            <w:rPr>
              <w:bCs/>
            </w:rPr>
            <w:instrText xml:space="preserve"> HYPERLINK \l _Toc15071 </w:instrText>
          </w:r>
          <w:r>
            <w:rPr>
              <w:bCs/>
            </w:rPr>
            <w:fldChar w:fldCharType="separate"/>
          </w:r>
          <w:r>
            <w:rPr>
              <w:rFonts w:hint="eastAsia" w:ascii="楷体" w:hAnsi="楷体" w:eastAsia="楷体"/>
              <w:szCs w:val="24"/>
            </w:rPr>
            <w:t>锌：关注回调后低多机会</w:t>
          </w:r>
          <w:r>
            <w:rPr>
              <w:bCs/>
            </w:rPr>
            <w:fldChar w:fldCharType="end"/>
          </w:r>
        </w:p>
        <w:p>
          <w:pPr>
            <w:pStyle w:val="74"/>
            <w:tabs>
              <w:tab w:val="right" w:leader="dot" w:pos="8306"/>
            </w:tabs>
          </w:pPr>
          <w:r>
            <w:rPr>
              <w:bCs/>
            </w:rPr>
            <w:fldChar w:fldCharType="begin"/>
          </w:r>
          <w:r>
            <w:rPr>
              <w:bCs/>
            </w:rPr>
            <w:instrText xml:space="preserve"> HYPERLINK \l _Toc26591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：区间震荡为主</w:t>
          </w:r>
          <w:r>
            <w:rPr>
              <w:bCs/>
            </w:rPr>
            <w:fldChar w:fldCharType="end"/>
          </w:r>
        </w:p>
        <w:p>
          <w:pPr>
            <w:pStyle w:val="74"/>
            <w:tabs>
              <w:tab w:val="right" w:leader="dot" w:pos="8306"/>
            </w:tabs>
          </w:pPr>
          <w:r>
            <w:rPr>
              <w:bCs/>
            </w:rPr>
            <w:fldChar w:fldCharType="begin"/>
          </w:r>
          <w:r>
            <w:rPr>
              <w:bCs/>
            </w:rPr>
            <w:instrText xml:space="preserve"> HYPERLINK \l _Toc20211 </w:instrText>
          </w:r>
          <w:r>
            <w:rPr>
              <w:bCs/>
            </w:rPr>
            <w:fldChar w:fldCharType="separate"/>
          </w:r>
          <w:r>
            <w:rPr>
              <w:rFonts w:hint="eastAsia" w:ascii="楷体" w:hAnsi="楷体" w:eastAsia="楷体"/>
              <w:szCs w:val="24"/>
            </w:rPr>
            <w:t>镍：基本面维持弱势，区间震荡为主</w:t>
          </w:r>
          <w:r>
            <w:rPr>
              <w:bCs/>
            </w:rPr>
            <w:fldChar w:fldCharType="end"/>
          </w:r>
        </w:p>
        <w:p>
          <w:pPr>
            <w:pStyle w:val="74"/>
            <w:tabs>
              <w:tab w:val="right" w:leader="dot" w:pos="8306"/>
            </w:tabs>
          </w:pPr>
          <w:r>
            <w:rPr>
              <w:bCs/>
            </w:rPr>
            <w:fldChar w:fldCharType="begin"/>
          </w:r>
          <w:r>
            <w:rPr>
              <w:bCs/>
            </w:rPr>
            <w:instrText xml:space="preserve"> HYPERLINK \l _Toc30124 </w:instrText>
          </w:r>
          <w:r>
            <w:rPr>
              <w:bCs/>
            </w:rPr>
            <w:fldChar w:fldCharType="separate"/>
          </w:r>
          <w:r>
            <w:rPr>
              <w:rFonts w:hint="eastAsia" w:ascii="楷体" w:hAnsi="楷体" w:eastAsia="楷体"/>
              <w:szCs w:val="24"/>
            </w:rPr>
            <w:t>不锈钢：维持震荡观点，关注旺季需求兑现情况</w:t>
          </w:r>
          <w:r>
            <w:rPr>
              <w:bCs/>
            </w:rPr>
            <w:fldChar w:fldCharType="end"/>
          </w:r>
        </w:p>
        <w:p>
          <w:pPr>
            <w:pStyle w:val="74"/>
            <w:tabs>
              <w:tab w:val="right" w:leader="dot" w:pos="8306"/>
            </w:tabs>
          </w:pPr>
          <w:r>
            <w:rPr>
              <w:bCs/>
            </w:rPr>
            <w:fldChar w:fldCharType="begin"/>
          </w:r>
          <w:r>
            <w:rPr>
              <w:bCs/>
            </w:rPr>
            <w:instrText xml:space="preserve"> HYPERLINK \l _Toc15123 </w:instrText>
          </w:r>
          <w:r>
            <w:rPr>
              <w:bCs/>
            </w:rPr>
            <w:fldChar w:fldCharType="separate"/>
          </w:r>
          <w:r>
            <w:rPr>
              <w:rFonts w:hint="eastAsia" w:ascii="楷体" w:hAnsi="楷体" w:eastAsia="楷体"/>
              <w:szCs w:val="24"/>
            </w:rPr>
            <w:t>工业硅：利好消息提振情绪，盘面增仓反弹</w:t>
          </w:r>
          <w:r>
            <w:rPr>
              <w:bCs/>
            </w:rPr>
            <w:fldChar w:fldCharType="end"/>
          </w:r>
        </w:p>
        <w:p>
          <w:pPr>
            <w:pStyle w:val="59"/>
            <w:tabs>
              <w:tab w:val="right" w:leader="dot" w:pos="8306"/>
            </w:tabs>
          </w:pPr>
          <w:r>
            <w:rPr>
              <w:bCs/>
            </w:rPr>
            <w:fldChar w:fldCharType="begin"/>
          </w:r>
          <w:r>
            <w:rPr>
              <w:bCs/>
            </w:rPr>
            <w:instrText xml:space="preserve"> HYPERLINK \l _Toc5591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_Toc15758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成本支撑坚挺 下方空间暂时有限</w:t>
          </w:r>
          <w:r>
            <w:rPr>
              <w:bCs/>
            </w:rPr>
            <w:fldChar w:fldCharType="end"/>
          </w:r>
        </w:p>
        <w:p>
          <w:pPr>
            <w:pStyle w:val="74"/>
            <w:tabs>
              <w:tab w:val="right" w:leader="dot" w:pos="8306"/>
            </w:tabs>
          </w:pPr>
          <w:r>
            <w:rPr>
              <w:bCs/>
            </w:rPr>
            <w:fldChar w:fldCharType="begin"/>
          </w:r>
          <w:r>
            <w:rPr>
              <w:bCs/>
            </w:rPr>
            <w:instrText xml:space="preserve"> HYPERLINK \l _Toc13199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_Toc2701 </w:instrText>
          </w:r>
          <w:r>
            <w:rPr>
              <w:bCs/>
            </w:rPr>
            <w:fldChar w:fldCharType="separate"/>
          </w:r>
          <w:r>
            <w:rPr>
              <w:rFonts w:hint="eastAsia" w:ascii="Times New Roman" w:hAnsi="Times New Roman" w:eastAsia="楷体"/>
              <w:szCs w:val="24"/>
            </w:rPr>
            <w:t>原油：多空因素交织下的市场震荡</w:t>
          </w:r>
          <w:r>
            <w:rPr>
              <w:bCs/>
            </w:rPr>
            <w:fldChar w:fldCharType="end"/>
          </w:r>
        </w:p>
        <w:p>
          <w:pPr>
            <w:pStyle w:val="74"/>
            <w:tabs>
              <w:tab w:val="right" w:leader="dot" w:pos="8306"/>
            </w:tabs>
          </w:pPr>
          <w:r>
            <w:rPr>
              <w:bCs/>
            </w:rPr>
            <w:fldChar w:fldCharType="begin"/>
          </w:r>
          <w:r>
            <w:rPr>
              <w:bCs/>
            </w:rPr>
            <w:instrText xml:space="preserve"> HYPERLINK \l _Toc6466 </w:instrText>
          </w:r>
          <w:r>
            <w:rPr>
              <w:bCs/>
            </w:rPr>
            <w:fldChar w:fldCharType="separate"/>
          </w:r>
          <w:r>
            <w:rPr>
              <w:rFonts w:hint="eastAsia" w:ascii="Times New Roman" w:hAnsi="Times New Roman" w:eastAsia="楷体"/>
              <w:szCs w:val="24"/>
            </w:rPr>
            <w:t>燃料油及低硫燃料油：需求担忧与供应恢复交织下的价格波动</w:t>
          </w:r>
          <w:r>
            <w:rPr>
              <w:bCs/>
            </w:rPr>
            <w:fldChar w:fldCharType="end"/>
          </w:r>
        </w:p>
        <w:p>
          <w:pPr>
            <w:pStyle w:val="74"/>
            <w:tabs>
              <w:tab w:val="right" w:leader="dot" w:pos="8306"/>
            </w:tabs>
          </w:pPr>
          <w:r>
            <w:rPr>
              <w:bCs/>
            </w:rPr>
            <w:fldChar w:fldCharType="begin"/>
          </w:r>
          <w:r>
            <w:rPr>
              <w:bCs/>
            </w:rPr>
            <w:instrText xml:space="preserve"> HYPERLINK \l _Toc13826 </w:instrText>
          </w:r>
          <w:r>
            <w:rPr>
              <w:bCs/>
            </w:rPr>
            <w:fldChar w:fldCharType="separate"/>
          </w:r>
          <w:r>
            <w:rPr>
              <w:rFonts w:hint="eastAsia" w:ascii="Times New Roman" w:hAnsi="Times New Roman" w:eastAsia="楷体"/>
              <w:szCs w:val="24"/>
            </w:rPr>
            <w:t>沥青：供需关系改善助力价格小幅攀升</w:t>
          </w:r>
          <w:r>
            <w:rPr>
              <w:bCs/>
            </w:rPr>
            <w:fldChar w:fldCharType="end"/>
          </w:r>
        </w:p>
        <w:p>
          <w:pPr>
            <w:pStyle w:val="74"/>
            <w:tabs>
              <w:tab w:val="right" w:leader="dot" w:pos="8306"/>
            </w:tabs>
          </w:pPr>
          <w:r>
            <w:rPr>
              <w:bCs/>
            </w:rPr>
            <w:fldChar w:fldCharType="begin"/>
          </w:r>
          <w:r>
            <w:rPr>
              <w:bCs/>
            </w:rPr>
            <w:instrText xml:space="preserve"> HYPERLINK \l _Toc14677 </w:instrText>
          </w:r>
          <w:r>
            <w:rPr>
              <w:bCs/>
            </w:rPr>
            <w:fldChar w:fldCharType="separate"/>
          </w:r>
          <w:r>
            <w:rPr>
              <w:rFonts w:hint="eastAsia" w:ascii="Times New Roman" w:hAnsi="Times New Roman" w:eastAsia="楷体"/>
              <w:szCs w:val="24"/>
            </w:rPr>
            <w:t>PTA：后市仍存累库压力 价格持续改善空间受限</w:t>
          </w:r>
          <w:r>
            <w:rPr>
              <w:bCs/>
            </w:rPr>
            <w:fldChar w:fldCharType="end"/>
          </w:r>
        </w:p>
        <w:p>
          <w:pPr>
            <w:pStyle w:val="74"/>
            <w:tabs>
              <w:tab w:val="right" w:leader="dot" w:pos="8306"/>
            </w:tabs>
          </w:pPr>
          <w:r>
            <w:rPr>
              <w:bCs/>
            </w:rPr>
            <w:fldChar w:fldCharType="begin"/>
          </w:r>
          <w:r>
            <w:rPr>
              <w:bCs/>
            </w:rPr>
            <w:instrText xml:space="preserve"> HYPERLINK \l _Toc17941 </w:instrText>
          </w:r>
          <w:r>
            <w:rPr>
              <w:bCs/>
            </w:rPr>
            <w:fldChar w:fldCharType="separate"/>
          </w:r>
          <w:r>
            <w:rPr>
              <w:rFonts w:hint="eastAsia" w:ascii="Times New Roman" w:hAnsi="Times New Roman" w:eastAsia="楷体"/>
              <w:szCs w:val="24"/>
            </w:rPr>
            <w:t>乙二醇：下游聚酯需求小幅改善 乙二醇或维持震荡走势</w:t>
          </w:r>
          <w:r>
            <w:rPr>
              <w:bCs/>
            </w:rPr>
            <w:fldChar w:fldCharType="end"/>
          </w:r>
        </w:p>
        <w:p>
          <w:pPr>
            <w:pStyle w:val="59"/>
            <w:tabs>
              <w:tab w:val="right" w:leader="dot" w:pos="8306"/>
            </w:tabs>
          </w:pPr>
          <w:r>
            <w:rPr>
              <w:bCs/>
            </w:rPr>
            <w:fldChar w:fldCharType="begin"/>
          </w:r>
          <w:r>
            <w:rPr>
              <w:bCs/>
            </w:rPr>
            <w:instrText xml:space="preserve"> HYPERLINK \l _Toc12632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_Toc31224 </w:instrText>
          </w:r>
          <w:r>
            <w:rPr>
              <w:bCs/>
            </w:rPr>
            <w:fldChar w:fldCharType="separate"/>
          </w:r>
          <w:r>
            <w:rPr>
              <w:rFonts w:hint="eastAsia" w:ascii="楷体" w:hAnsi="楷体" w:eastAsia="楷体"/>
              <w:bCs/>
            </w:rPr>
            <w:t>玉米与淀粉：</w:t>
          </w:r>
          <w:r>
            <w:rPr>
              <w:rFonts w:hint="eastAsia" w:ascii="楷体" w:hAnsi="楷体" w:eastAsia="楷体"/>
            </w:rPr>
            <w:t>期价震荡调整</w:t>
          </w:r>
          <w:r>
            <w:rPr>
              <w:bCs/>
            </w:rPr>
            <w:fldChar w:fldCharType="end"/>
          </w:r>
        </w:p>
        <w:p>
          <w:pPr>
            <w:pStyle w:val="74"/>
            <w:tabs>
              <w:tab w:val="right" w:leader="dot" w:pos="8306"/>
            </w:tabs>
          </w:pPr>
          <w:r>
            <w:rPr>
              <w:bCs/>
            </w:rPr>
            <w:fldChar w:fldCharType="begin"/>
          </w:r>
          <w:r>
            <w:rPr>
              <w:bCs/>
            </w:rPr>
            <w:instrText xml:space="preserve"> HYPERLINK \l _Toc1043 </w:instrText>
          </w:r>
          <w:r>
            <w:rPr>
              <w:bCs/>
            </w:rPr>
            <w:fldChar w:fldCharType="separate"/>
          </w:r>
          <w:r>
            <w:rPr>
              <w:rFonts w:hint="eastAsia" w:ascii="楷体" w:hAnsi="楷体" w:eastAsia="楷体"/>
              <w:bCs/>
            </w:rPr>
            <w:t>畜禽养殖：留意生猪现货走势</w:t>
          </w:r>
          <w:r>
            <w:rPr>
              <w:bCs/>
            </w:rPr>
            <w:fldChar w:fldCharType="end"/>
          </w:r>
        </w:p>
        <w:p>
          <w:pPr>
            <w:pStyle w:val="74"/>
            <w:tabs>
              <w:tab w:val="right" w:leader="dot" w:pos="8306"/>
            </w:tabs>
          </w:pPr>
          <w:r>
            <w:rPr>
              <w:bCs/>
            </w:rPr>
            <w:fldChar w:fldCharType="begin"/>
          </w:r>
          <w:r>
            <w:rPr>
              <w:bCs/>
            </w:rPr>
            <w:instrText xml:space="preserve"> HYPERLINK \l _Toc28735 </w:instrText>
          </w:r>
          <w:r>
            <w:rPr>
              <w:bCs/>
            </w:rPr>
            <w:fldChar w:fldCharType="separate"/>
          </w:r>
          <w:r>
            <w:rPr>
              <w:rFonts w:hint="eastAsia" w:ascii="楷体" w:hAnsi="楷体" w:eastAsia="楷体"/>
              <w:bCs/>
            </w:rPr>
            <w:t>白糖：震荡偏强</w:t>
          </w:r>
          <w:r>
            <w:rPr>
              <w:bCs/>
            </w:rPr>
            <w:fldChar w:fldCharType="end"/>
          </w:r>
        </w:p>
        <w:p>
          <w:pPr>
            <w:pStyle w:val="74"/>
            <w:tabs>
              <w:tab w:val="right" w:leader="dot" w:pos="8306"/>
            </w:tabs>
          </w:pPr>
          <w:r>
            <w:rPr>
              <w:bCs/>
            </w:rPr>
            <w:fldChar w:fldCharType="begin"/>
          </w:r>
          <w:r>
            <w:rPr>
              <w:bCs/>
            </w:rPr>
            <w:instrText xml:space="preserve"> HYPERLINK \l _Toc10478 </w:instrText>
          </w:r>
          <w:r>
            <w:rPr>
              <w:bCs/>
            </w:rPr>
            <w:fldChar w:fldCharType="separate"/>
          </w:r>
          <w:r>
            <w:rPr>
              <w:rFonts w:hint="eastAsia" w:ascii="楷体" w:hAnsi="楷体" w:eastAsia="楷体"/>
              <w:bCs/>
            </w:rPr>
            <w:t>棉花：预计郑棉震荡整理，背靠1.4万逢高布局空单</w:t>
          </w:r>
          <w:r>
            <w:rPr>
              <w:bCs/>
            </w:rPr>
            <w:fldChar w:fldCharType="end"/>
          </w:r>
        </w:p>
        <w:p>
          <w:pPr>
            <w:pStyle w:val="74"/>
            <w:tabs>
              <w:tab w:val="right" w:leader="dot" w:pos="8306"/>
            </w:tabs>
          </w:pPr>
          <w:r>
            <w:rPr>
              <w:bCs/>
            </w:rPr>
            <w:fldChar w:fldCharType="begin"/>
          </w:r>
          <w:r>
            <w:rPr>
              <w:bCs/>
            </w:rPr>
            <w:instrText xml:space="preserve"> HYPERLINK \l _Toc28989 </w:instrText>
          </w:r>
          <w:r>
            <w:rPr>
              <w:bCs/>
            </w:rPr>
            <w:fldChar w:fldCharType="separate"/>
          </w:r>
          <w:r>
            <w:rPr>
              <w:rFonts w:hint="eastAsia" w:ascii="楷体" w:hAnsi="楷体" w:eastAsia="楷体"/>
              <w:bCs/>
            </w:rPr>
            <w:t>蛋白粕：USDA公布出口数据较好，美豆价格向上修复</w:t>
          </w:r>
          <w:r>
            <w:rPr>
              <w:bCs/>
            </w:rPr>
            <w:fldChar w:fldCharType="end"/>
          </w:r>
        </w:p>
        <w:p>
          <w:pPr>
            <w:pStyle w:val="74"/>
            <w:tabs>
              <w:tab w:val="right" w:leader="dot" w:pos="8306"/>
            </w:tabs>
          </w:pPr>
          <w:r>
            <w:rPr>
              <w:bCs/>
            </w:rPr>
            <w:fldChar w:fldCharType="begin"/>
          </w:r>
          <w:r>
            <w:rPr>
              <w:bCs/>
            </w:rPr>
            <w:instrText xml:space="preserve"> HYPERLINK \l _Toc17262 </w:instrText>
          </w:r>
          <w:r>
            <w:rPr>
              <w:bCs/>
            </w:rPr>
            <w:fldChar w:fldCharType="separate"/>
          </w:r>
          <w:r>
            <w:rPr>
              <w:rFonts w:hint="eastAsia" w:ascii="楷体" w:hAnsi="楷体" w:eastAsia="楷体"/>
              <w:bCs/>
            </w:rPr>
            <w:t>油脂类：棕榈油再度上涨，短期仍有上涨可能</w:t>
          </w:r>
          <w:r>
            <w:rPr>
              <w:bCs/>
            </w:rPr>
            <w:fldChar w:fldCharType="end"/>
          </w:r>
        </w:p>
        <w:p>
          <w:pPr>
            <w:pStyle w:val="59"/>
            <w:tabs>
              <w:tab w:val="right" w:leader="dot" w:pos="8306"/>
            </w:tabs>
          </w:pPr>
          <w:r>
            <w:rPr>
              <w:bCs/>
            </w:rPr>
            <w:fldChar w:fldCharType="begin"/>
          </w:r>
          <w:r>
            <w:rPr>
              <w:bCs/>
            </w:rPr>
            <w:instrText xml:space="preserve"> HYPERLINK \l _Toc1261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_Toc11244 </w:instrText>
          </w:r>
          <w:r>
            <w:rPr>
              <w:bCs/>
            </w:rPr>
            <w:fldChar w:fldCharType="separate"/>
          </w:r>
          <w:r>
            <w:rPr>
              <w:rFonts w:hint="eastAsia" w:ascii="Times New Roman" w:hAnsi="Times New Roman" w:eastAsia="楷体"/>
              <w:szCs w:val="24"/>
            </w:rPr>
            <w:t>集运指数（欧线）：船司计划取消部分航次，期价小幅下跌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576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6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震荡走低，市场成交额不足5000亿，沪指创调整阶段以来新低。市场近4600股下跌。在海外宽货币背景下，是国内宽松政策跟进的窗口期，但目前看来降息预期发酵较为充分，A股仍受困于市场信心不足，买盘单一等问题，缺乏持续性进攻机会。后续，需观察国内宽货币的跟进力度，国内宽财政执行改善及效果的乐观预期发酵。</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31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872"/>
      <w:r>
        <w:rPr>
          <w:rFonts w:hint="eastAsia" w:ascii="Times New Roman" w:hAnsi="Times New Roman" w:eastAsia="楷体"/>
          <w:b/>
          <w:color w:val="000000" w:themeColor="text1"/>
          <w:sz w:val="24"/>
          <w:szCs w:val="24"/>
          <w14:textFill>
            <w14:solidFill>
              <w14:schemeClr w14:val="tx1"/>
            </w14:solidFill>
          </w14:textFill>
        </w:rPr>
        <w:t>贵金属：美国第二季度实际GDP略微上修，贵金属价格小幅上涨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0.13%至576.20元/克，沪银涨0.31%至7529元/千克。美国第二季度实际GDP年化修正值环比增3.0%，预期增2.8%，初值增2.8%，第一季度终值增1.3%。核心PCE物价指数年化修正值环比增2.8%，预期增2.9%，初值增2.9%，第一季度终值增3.6%。美联储博斯蒂克表示，按历史标准来看，就业率仍然相当强劲；通胀下降速度，以及失业率的上升都超出预期，意味着应该将降息提前至第三季度。关注今日晚间美国PCE通胀等数据公布情况，此前美联储主席讲话释放降息信号，后续9月会议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2625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413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碳酸锂：锂企业绩承压，期价小幅上涨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反弹，11合约收涨1.79%至76850元/吨。锂企业绩承压，近期部分锂企披露上半年业绩，受锂行业周期下行影响，产品出货量同比增加但价格下跌，经营业绩同比大幅下降，净利润亏损。展望后市，短线期价或维持区间震荡。临近旺季，下游需求回升，基本面维持供强虚弱，不过8月份的供应过剩幅度有所缓和，库存仍处于高位。9-10月，下游传统旺季带来的备库需求后续或支撑碳酸锂价格弱反弹。中期角度维持偏空思路，2025年非洲部分矿山的矿石供应增量或带动锂价进一步下跌。</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029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区间弱势整理</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二季度实际GDP显著上修，提振市场情绪，9月迎来联储降息窗口，持续关注后续公布重要经济数据，等待进一步降息消息。7月铝土矿进口增量明显，进入8月几内亚、澳洲铝土矿出港量明显减少，国内矿产供应有限，部分前期氧化铝高产产能进入检修，市场内氧化铝现货稀缺，电解铝成本支撑较强，电解铝中游冶炼开产积极，供应高位，部分地区受偶发事故及电力影响或小幅减产，交易所库存累积，社库小幅去化，进入传统消费旺季前下游备货情绪提振，实际旺季对需求的刺激效应仍待证伪。铝价2w关键位置承压向下运行，短期暂看19600-20200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5071"/>
      <w:r>
        <w:rPr>
          <w:rFonts w:hint="eastAsia" w:ascii="楷体" w:hAnsi="楷体" w:eastAsia="楷体"/>
          <w:b/>
          <w:color w:val="000000" w:themeColor="text1"/>
          <w:sz w:val="24"/>
          <w:szCs w:val="24"/>
          <w14:textFill>
            <w14:solidFill>
              <w14:schemeClr w14:val="tx1"/>
            </w14:solidFill>
          </w14:textFill>
        </w:rPr>
        <w:t>锌：关注回调后低多机会</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二季度修正GDP数据超市场预期，缓解市场对全球经济衰退的悲观情绪。锌矿TC费率低迷，厂内原料可用库存保持低位，海外进口矿部分补充但依旧紧张，中游冶炼厂在生产利润亏损压力下部分厂家主动减产检修，精炼锌产量下降明显，8月21日中国锌企业会议就提升冶炼产能治理能力达成共识，年度生产计划预期调整近百万吨金属生产，进口锌少量补充，交易所库存+社会库存保持去库态势，下游加工消费依旧疲弱但临近旺季有转好预期，金九银十旺季效应等待证伪。近期宏观叠加基本面利多共振带动价格持续上行，实际全球经济疲软仍有压力，锌市需求现实依旧疲软，短期仍有回调可能，关注低位布多机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659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：区间震荡为主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(1)宏观：8月29日公布的数据显示，美国二季度实际GDP年化季环比修正值3%，较初值2.8%上修0.2个百分点，一季度化季环比增速为1.4%；美国二季度GDP平减指数年化季环比修正值为2.5%，预期和初值均为2.3%。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(2)库存：8月29日，SHFE仓单库存137162吨，减2182吨；LME仓单库存322950吨，增8700吨。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(3)精废价差：8月29日，Mysteel精废价差1452，收窄93。目前价差在合理价差1448之上。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GDP显著上修，在一定程度上缓解了市场的衰退恐惧。高盛则将美国明年陷入经济衰退的可能性从25%下调至20%，如果9月初的非农也很好，将进一步下调至15%。基本面，价格上涨后库存去化放缓，且境外铜库存高位对价格有压制，短期价格或步入区间震荡，参考7.3-7.5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0211"/>
      <w:r>
        <w:rPr>
          <w:rFonts w:hint="eastAsia" w:ascii="楷体" w:hAnsi="楷体" w:eastAsia="楷体"/>
          <w:b/>
          <w:color w:val="000000" w:themeColor="text1"/>
          <w:sz w:val="24"/>
          <w:szCs w:val="24"/>
          <w14:textFill>
            <w14:solidFill>
              <w14:schemeClr w14:val="tx1"/>
            </w14:solidFill>
          </w14:textFill>
        </w:rPr>
        <w:t>镍：基本面维持弱势，区间震荡为主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降息乐观预期对盘面提振作用基本消退，而衰退预期尚未被证伪。镍矿方面，印尼镍矿供应仍受到天气干扰，镍矿价格十分坚挺。中间品方面，由于天气影响，中间品供应边际减少，价格系数有所走强。硫酸镍方面，原料中间品价格坚挺，下游前驱体具有一定备库需求，支撑硫酸镍价格。供需方面，现货成交氛围未有明显起色，海内外库存维持趋势性累库。综合而言，宏观情绪反复，过剩格局压制镍价上方空间，而印尼镍矿偏紧形成底部支撑，镍价寻得高冰镍一体化成本线支撑，预计沪镍主力在127000-135000区间震荡。</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30124"/>
      <w:r>
        <w:rPr>
          <w:rFonts w:hint="eastAsia" w:ascii="楷体" w:hAnsi="楷体" w:eastAsia="楷体"/>
          <w:b/>
          <w:color w:val="000000" w:themeColor="text1"/>
          <w:sz w:val="24"/>
          <w:szCs w:val="24"/>
          <w14:textFill>
            <w14:solidFill>
              <w14:schemeClr w14:val="tx1"/>
            </w14:solidFill>
          </w14:textFill>
        </w:rPr>
        <w:t>不锈钢：维持震荡观点，关注旺季需求兑现情况</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预期已逐渐被盘面消化。镍矿方面，印尼镍矿供应紧张情况仍在持续，印尼镍矿内贸升水居高不下。镍铁方面，镍矿成本坚挺，加上钢厂进入提前备库期，镍铁价格企稳，Mysteel讯，近日华南某主流钢厂高镍铁采购价1000及1010元/镍（到厂含税），成交数万吨，交期9月底。供需方面，下游成交氛围整体以刚需采购为主，市场对金九银十传统旺季仍有所期待。库存方面，本周社会总库存为1086464吨，周环比减0.21%。综合而言，当前不锈钢市场需求未见明显起色，库存消化能力仍缓慢，价格缺乏向上驱动，与此同时，由于印尼矿端偏紧，成本支撑犹存，期价下方空间也有限，维持震荡观点。</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512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利好消息提振情绪，盘面增仓反弹</w:t>
      </w:r>
      <w:bookmarkEnd w:id="25"/>
    </w:p>
    <w:p>
      <w:pPr>
        <w:ind w:left="630" w:leftChars="300"/>
        <w:rPr>
          <w:rFonts w:ascii="楷体" w:hAnsi="楷体" w:eastAsia="楷体"/>
          <w:sz w:val="24"/>
          <w:szCs w:val="24"/>
        </w:rPr>
      </w:pPr>
      <w:r>
        <w:rPr>
          <w:rFonts w:hint="eastAsia" w:ascii="楷体" w:hAnsi="楷体" w:eastAsia="楷体"/>
          <w:sz w:val="24"/>
          <w:szCs w:val="24"/>
        </w:rPr>
        <w:t>8月29日，Si2411主力合约上涨3.16%至10130元吨，盘中触及近三周高位10170元/吨，主要受利好消息以及新疆大厂上调报价影响，市场情绪有所提振，由于盘面估值整体相对较低，资金参与兴趣大幅增加，短期盘面或有一定支撑，但要注意宽松格局暂未出现扭转迹象，且库存压力仍存。策略上，建议谨慎资金暂时观望为主，激进资金等待技术信号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559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575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成本支撑坚挺 下方空间暂时有限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胶震荡运行。目前看，产区季节性上量预期仍存，但泰国地区多地发生洪水，同时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3199"/>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701"/>
      <w:r>
        <w:rPr>
          <w:rFonts w:hint="eastAsia" w:ascii="Times New Roman" w:hAnsi="Times New Roman" w:eastAsia="楷体"/>
          <w:b/>
          <w:color w:val="000000" w:themeColor="text1"/>
          <w:sz w:val="24"/>
          <w:szCs w:val="24"/>
          <w14:textFill>
            <w14:solidFill>
              <w14:schemeClr w14:val="tx1"/>
            </w14:solidFill>
          </w14:textFill>
        </w:rPr>
        <w:t>原油：多空因素交织下的市场震荡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WTI原油主力合约收涨2.20%，收报76.02美元/桶；布伦特原油主力合约结算价收涨2.20%，报80.21美元/桶；中国原油期货SC主力合约收涨0.70%，报557.2元/桶。</w:t>
      </w:r>
    </w:p>
    <w:p>
      <w:pPr>
        <w:ind w:left="630" w:leftChars="300"/>
        <w:rPr>
          <w:rFonts w:hint="eastAsia" w:ascii="楷体" w:hAnsi="楷体" w:eastAsia="楷体"/>
          <w:sz w:val="24"/>
          <w:szCs w:val="24"/>
        </w:rPr>
      </w:pPr>
      <w:r>
        <w:rPr>
          <w:rFonts w:hint="eastAsia" w:ascii="楷体" w:hAnsi="楷体" w:eastAsia="楷体"/>
          <w:sz w:val="24"/>
          <w:szCs w:val="24"/>
        </w:rPr>
        <w:t>市场认为利比亚石油供应中断可能会影响欧佩克会推迟恢复生产，加之据消息人士称，伊拉克计划在九月份将石油产量削减至385万至390万桶/日；伊拉克取消了8月份的100万桶现货货运，以减少出口。此外，美国上修第二季度GDP增幅。相关消息在美国交易时段刺激原油价格大幅上涨，涨幅一度超过3%，但后续再度回落基本上抹去了夜间的涨幅。</w:t>
      </w:r>
    </w:p>
    <w:p>
      <w:pPr>
        <w:ind w:left="630" w:leftChars="300"/>
        <w:rPr>
          <w:rFonts w:hint="eastAsia" w:ascii="楷体" w:hAnsi="楷体" w:eastAsia="楷体"/>
          <w:sz w:val="24"/>
          <w:szCs w:val="24"/>
        </w:rPr>
      </w:pPr>
      <w:r>
        <w:rPr>
          <w:rFonts w:hint="eastAsia" w:ascii="楷体" w:hAnsi="楷体" w:eastAsia="楷体"/>
          <w:sz w:val="24"/>
          <w:szCs w:val="24"/>
        </w:rPr>
        <w:t>由于对需求的担忧继续给油价带来压力，市场焦点转向对欧佩克+是否会按计划在下个季度恢复生产。在一项调查中，受访者对此存在分歧，部分预计增产，部分则预计推迟。尽管有预测认为增产可能受限，但欧佩克+仍计划在10月份增产，逐步恢复停产。同时，该组织也强调计划可“暂停或逆转”，特别是在主要消费国经济增长放缓、市场前景恶化的情况下，尽管内部有异议，但大多数代表仍预计将继续恢复产量。</w:t>
      </w:r>
    </w:p>
    <w:p>
      <w:pPr>
        <w:ind w:left="630" w:leftChars="300"/>
        <w:rPr>
          <w:rFonts w:hint="eastAsia" w:ascii="楷体" w:hAnsi="楷体" w:eastAsia="楷体"/>
          <w:sz w:val="24"/>
          <w:szCs w:val="24"/>
        </w:rPr>
      </w:pPr>
      <w:r>
        <w:rPr>
          <w:rFonts w:hint="eastAsia" w:ascii="楷体" w:hAnsi="楷体" w:eastAsia="楷体"/>
          <w:sz w:val="24"/>
          <w:szCs w:val="24"/>
        </w:rPr>
        <w:t>后续关注下周的非农就业报告。市场焦点从地缘政治、美元降息，重新回到原油自身的供需基本面上，主要担心为美国夏季驾驶消费旺季结束后，原油需求回落，及欧佩克+恢复增产导致原油供应扩大。原油价格短期内上下的支撑及阻力均较强，如无消息面刺激预计区间震荡整固为主。</w:t>
      </w:r>
    </w:p>
    <w:p>
      <w:pPr>
        <w:ind w:left="630" w:leftChars="300"/>
        <w:rPr>
          <w:rFonts w:hint="eastAsia" w:ascii="楷体" w:hAnsi="楷体" w:eastAsia="楷体"/>
          <w:sz w:val="24"/>
          <w:szCs w:val="24"/>
        </w:rPr>
      </w:pPr>
      <w:r>
        <w:rPr>
          <w:rFonts w:hint="eastAsia" w:ascii="楷体" w:hAnsi="楷体" w:eastAsia="楷体"/>
          <w:sz w:val="24"/>
          <w:szCs w:val="24"/>
        </w:rPr>
        <w:t>WTI原油主力合约价格上攻受挫，下方支撑位在74美元/桶，上方阻力位在77.2-77.6美元/桶一带；布伦特原油主力合约价格下方支撑位在78美元/桶附近，上方阻力位在81.2-81.6美元/桶一带；国内原油期货主力合约SC2410价格在550元/吨附近有一定支撑，但明显弱于外盘。</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6466"/>
      <w:r>
        <w:rPr>
          <w:rFonts w:hint="eastAsia" w:ascii="Times New Roman" w:hAnsi="Times New Roman" w:eastAsia="楷体"/>
          <w:b/>
          <w:color w:val="000000" w:themeColor="text1"/>
          <w:sz w:val="24"/>
          <w:szCs w:val="24"/>
          <w14:textFill>
            <w14:solidFill>
              <w14:schemeClr w14:val="tx1"/>
            </w14:solidFill>
          </w14:textFill>
        </w:rPr>
        <w:t>燃料油及低硫燃料油：需求担忧与供应恢复交织下的价格波动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跟随原油回调，燃料油期货夜盘也出现下跌。燃料油主力合约FU2411收涨0.73%，报3046元/吨；低硫燃料油主力合约LU2411收跌0.76%，报4070元/吨；LU2411- FU2411价差为1024元/吨，继续缩窄。</w:t>
      </w:r>
    </w:p>
    <w:p>
      <w:pPr>
        <w:ind w:left="630" w:leftChars="300"/>
        <w:rPr>
          <w:rFonts w:hint="eastAsia" w:ascii="楷体" w:hAnsi="楷体" w:eastAsia="楷体"/>
          <w:sz w:val="24"/>
          <w:szCs w:val="24"/>
        </w:rPr>
      </w:pPr>
      <w:r>
        <w:rPr>
          <w:rFonts w:hint="eastAsia" w:ascii="楷体" w:hAnsi="楷体" w:eastAsia="楷体"/>
          <w:sz w:val="24"/>
          <w:szCs w:val="24"/>
        </w:rPr>
        <w:t>隔夜油价回升，但燃料油价格走势较弱，低硫燃料油价格甚至收跌。短期内，因对需求疲弱的担忧，对燃料油造成了一定压力。</w:t>
      </w:r>
    </w:p>
    <w:p>
      <w:pPr>
        <w:ind w:left="630" w:leftChars="300"/>
        <w:rPr>
          <w:rFonts w:hint="eastAsia" w:ascii="楷体" w:hAnsi="楷体" w:eastAsia="楷体"/>
          <w:sz w:val="24"/>
          <w:szCs w:val="24"/>
        </w:rPr>
      </w:pPr>
      <w:r>
        <w:rPr>
          <w:rFonts w:hint="eastAsia" w:ascii="楷体" w:hAnsi="楷体" w:eastAsia="楷体"/>
          <w:sz w:val="24"/>
          <w:szCs w:val="24"/>
        </w:rPr>
        <w:t>供应端，高硫方面，亚洲供应端伴随着中东到货量的增加，供应紧张程度有所缓解；俄罗斯供应出口短期内环比上行，炼厂开工回升，同时其重要炼厂及港口自8月来几乎未受袭击，供应开始增长；周度新加坡往中国出口高硫量上行；中东供应平稳。低硫方面，供应进一步恢复，尤其是来自中东和非洲的新供应量逐步增加；前两周新加坡市场受到不合格到港货物的影响而供应紧张，恢复后短期内低硫市场短期内供应仍较充足；亚洲已成为2024年尼日利亚Dangote炼厂低硫直馏燃料油出口的首选目的地，有助于缓解亚洲地区的供应紧张局面，但亚洲地区存在结构性低硫燃料油供应短缺问题；国内市场当前存在9月低硫配额充足下发预期，配额充足背景下国内低硫供应量预期上行。</w:t>
      </w:r>
    </w:p>
    <w:p>
      <w:pPr>
        <w:ind w:left="630" w:leftChars="300"/>
        <w:rPr>
          <w:rFonts w:hint="eastAsia" w:ascii="楷体" w:hAnsi="楷体" w:eastAsia="楷体"/>
          <w:sz w:val="24"/>
          <w:szCs w:val="24"/>
        </w:rPr>
      </w:pPr>
      <w:r>
        <w:rPr>
          <w:rFonts w:hint="eastAsia" w:ascii="楷体" w:hAnsi="楷体" w:eastAsia="楷体"/>
          <w:sz w:val="24"/>
          <w:szCs w:val="24"/>
        </w:rPr>
        <w:t>需求端，中国炼厂高硫进料需求一般，叠加中东、南亚发电需求处于季节性旺季尾声，中东发电需求预期于三季度末随气温下行而消退，当前沙特高温天气一定程度上持续支撑燃油进口需求。</w:t>
      </w:r>
    </w:p>
    <w:p>
      <w:pPr>
        <w:ind w:left="630" w:leftChars="300"/>
        <w:rPr>
          <w:rFonts w:hint="eastAsia" w:ascii="楷体" w:hAnsi="楷体" w:eastAsia="楷体"/>
          <w:sz w:val="24"/>
          <w:szCs w:val="24"/>
        </w:rPr>
      </w:pPr>
      <w:r>
        <w:rPr>
          <w:rFonts w:hint="eastAsia" w:ascii="楷体" w:hAnsi="楷体" w:eastAsia="楷体"/>
          <w:sz w:val="24"/>
          <w:szCs w:val="24"/>
        </w:rPr>
        <w:t>库存端，周内重质燃料油库存下滑，给予了高硫裂解价差一定的支撑；新加坡燃料油库存下降108.2万桶，至两周低点1815万桶。</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826"/>
      <w:r>
        <w:rPr>
          <w:rFonts w:hint="eastAsia" w:ascii="Times New Roman" w:hAnsi="Times New Roman" w:eastAsia="楷体"/>
          <w:b/>
          <w:color w:val="000000" w:themeColor="text1"/>
          <w:sz w:val="24"/>
          <w:szCs w:val="24"/>
          <w14:textFill>
            <w14:solidFill>
              <w14:schemeClr w14:val="tx1"/>
            </w14:solidFill>
          </w14:textFill>
        </w:rPr>
        <w:t>沥青：供需关系改善助力价格小幅攀升</w:t>
      </w:r>
      <w:bookmarkEnd w:id="32"/>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跟随原油回升，沥青期货夜盘走强。沥青期货主力合约BU2410收涨0.88%，收3458元/吨。</w:t>
      </w:r>
    </w:p>
    <w:p>
      <w:pPr>
        <w:ind w:left="630" w:leftChars="300"/>
        <w:rPr>
          <w:rFonts w:hint="eastAsia" w:ascii="楷体" w:hAnsi="楷体" w:eastAsia="楷体"/>
          <w:sz w:val="24"/>
          <w:szCs w:val="24"/>
        </w:rPr>
      </w:pPr>
      <w:r>
        <w:rPr>
          <w:rFonts w:hint="eastAsia" w:ascii="楷体" w:hAnsi="楷体" w:eastAsia="楷体"/>
          <w:sz w:val="24"/>
          <w:szCs w:val="24"/>
        </w:rPr>
        <w:t>国内沥青均价为3654元/吨，较上一工作日价格持稳，国内各地区沥青现货价格多区间内小幅调整为主，整体沥青现货价格偏稳运行。</w:t>
      </w:r>
    </w:p>
    <w:p>
      <w:pPr>
        <w:ind w:left="630" w:leftChars="300"/>
        <w:rPr>
          <w:rFonts w:hint="eastAsia" w:ascii="楷体" w:hAnsi="楷体" w:eastAsia="楷体"/>
          <w:sz w:val="24"/>
          <w:szCs w:val="24"/>
        </w:rPr>
      </w:pPr>
      <w:r>
        <w:rPr>
          <w:rFonts w:hint="eastAsia" w:ascii="楷体" w:hAnsi="楷体" w:eastAsia="楷体"/>
          <w:sz w:val="24"/>
          <w:szCs w:val="24"/>
        </w:rPr>
        <w:t>随着降雨天气的逐渐结束，市场刚需小幅提振，加之部分月底合同到期执行，北方地区市场出货量环比有所好转，部分性价比较高的资源试探性小幅推涨，但是考虑国际原油偏弱运行，各品牌资源以及社会库资源依旧充裕，整体市场推涨高度有限。华北区域内主力炼厂70#沥青连续两日停报，市场现货流通量明显减少，部分贸易商上调沥青零售价格，带动华北市场沥青现货价格上行。其余地区沥青现货价格大体企稳。个别市场月底供应偏紧，支撑国内沥青现货均价上行。</w:t>
      </w:r>
    </w:p>
    <w:p>
      <w:pPr>
        <w:ind w:left="630" w:leftChars="300"/>
        <w:rPr>
          <w:rFonts w:hint="eastAsia" w:ascii="楷体" w:hAnsi="楷体" w:eastAsia="楷体"/>
          <w:sz w:val="24"/>
          <w:szCs w:val="24"/>
        </w:rPr>
      </w:pPr>
      <w:r>
        <w:rPr>
          <w:rFonts w:hint="eastAsia" w:ascii="楷体" w:hAnsi="楷体" w:eastAsia="楷体"/>
          <w:sz w:val="24"/>
          <w:szCs w:val="24"/>
        </w:rPr>
        <w:t>供应方面，本周，根据隆众对96家企业跟踪，国内沥青周度总产量为48.58万吨，环比增加0.64万吨，增幅1.3%；同比减少27.38万吨，降幅36%。2024年1-8月份沥青累计产量为1921.17万吨，同比减少477.55万吨，降幅19.9%。本周沥青供需差为-14.6万吨，供需差维持负值，环比增加46.6%；其中54家厂家库存环比去库5.5万吨，104家贸易商社会库存环比去库9.1万吨。国内沥青均价3656元/吨，环比涨幅0.2%，沥青库存连续去化，支撑价格试探上涨。2024年9月份国内沥青总计划排产量为201.9万吨，环比下降5.5万吨，降幅2.65%，同比9月份实际产量下降112.57万吨，降幅35.8%，所以供应端压力有限。</w:t>
      </w:r>
    </w:p>
    <w:p>
      <w:pPr>
        <w:ind w:left="630" w:leftChars="300"/>
        <w:rPr>
          <w:rFonts w:hint="eastAsia" w:ascii="楷体" w:hAnsi="楷体" w:eastAsia="楷体"/>
          <w:sz w:val="24"/>
          <w:szCs w:val="24"/>
        </w:rPr>
      </w:pPr>
      <w:r>
        <w:rPr>
          <w:rFonts w:hint="eastAsia" w:ascii="楷体" w:hAnsi="楷体" w:eastAsia="楷体"/>
          <w:sz w:val="24"/>
          <w:szCs w:val="24"/>
        </w:rPr>
        <w:t>需求方面，北方部分省份逐渐进入赶工阶段，预计社会库存维持去库态势，南方施工条件好转，需求有望稳中上升。预计供需差继续维持负值状态。</w:t>
      </w:r>
    </w:p>
    <w:p>
      <w:pPr>
        <w:ind w:left="630" w:leftChars="300"/>
        <w:rPr>
          <w:rFonts w:hint="eastAsia" w:ascii="楷体" w:hAnsi="楷体" w:eastAsia="楷体"/>
          <w:sz w:val="24"/>
          <w:szCs w:val="24"/>
        </w:rPr>
      </w:pPr>
      <w:r>
        <w:rPr>
          <w:rFonts w:hint="eastAsia" w:ascii="楷体" w:hAnsi="楷体" w:eastAsia="楷体"/>
          <w:sz w:val="24"/>
          <w:szCs w:val="24"/>
        </w:rPr>
        <w:t>库存方面，截至2024年8月29日，国内沥青104家社会库库存共计231.6万吨，较周一（8月26日）减少1.3%。统计周期内国内社会库存持续去库，其中东北地区社会库去库明显，主要由于区内个别贸易商前期订单集中提货，消耗社会库出货为主，带动社会库去库。</w:t>
      </w:r>
    </w:p>
    <w:p>
      <w:pPr>
        <w:ind w:left="630" w:leftChars="300"/>
        <w:rPr>
          <w:rFonts w:hint="eastAsia" w:ascii="楷体" w:hAnsi="楷体" w:eastAsia="楷体"/>
          <w:sz w:val="24"/>
          <w:szCs w:val="24"/>
        </w:rPr>
      </w:pPr>
      <w:r>
        <w:rPr>
          <w:rFonts w:hint="eastAsia" w:ascii="楷体" w:hAnsi="楷体" w:eastAsia="楷体"/>
          <w:sz w:val="24"/>
          <w:szCs w:val="24"/>
        </w:rPr>
        <w:t>短期内，沥青的基本面表现优于原油及燃料油等能源化工品种。若未来原油价格能够企稳回升，沥青期货价格有望脱离自7月以来的下跌趋势。</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14677"/>
      <w:r>
        <w:rPr>
          <w:rFonts w:hint="eastAsia" w:ascii="Times New Roman" w:hAnsi="Times New Roman" w:eastAsia="楷体"/>
          <w:b/>
          <w:color w:val="000000" w:themeColor="text1"/>
          <w:sz w:val="24"/>
          <w:szCs w:val="24"/>
          <w14:textFill>
            <w14:solidFill>
              <w14:schemeClr w14:val="tx1"/>
            </w14:solidFill>
          </w14:textFill>
        </w:rPr>
        <w:t>PTA：后市仍存累库压力 价格持续改善空间受限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TA市场氛围依旧偏弱。目前汉邦220万吨装置已重启，恒力石化（大连）250万吨PTA-5装置已检修，9月宁波台化120万吨PTA装置计划月初检修，四川能投100万吨PTA装置计划8月下重启，恒力大连一套220万吨装置计划9月检修。PTA开工率环比变动不大。需求方面聚酯整体库存依旧偏高，终端织造订单在高温天气缓和影响下局部改善，旺季聚酯开工仍有提升空间但可能相对有限。PTA后市或依然存在累库压力。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17941"/>
      <w:r>
        <w:rPr>
          <w:rFonts w:hint="eastAsia" w:ascii="Times New Roman" w:hAnsi="Times New Roman" w:eastAsia="楷体"/>
          <w:b/>
          <w:color w:val="000000" w:themeColor="text1"/>
          <w:sz w:val="24"/>
          <w:szCs w:val="24"/>
          <w14:textFill>
            <w14:solidFill>
              <w14:schemeClr w14:val="tx1"/>
            </w14:solidFill>
          </w14:textFill>
        </w:rPr>
        <w:t>乙二醇：下游聚酯需求小幅改善 乙二醇或维持震荡走势</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近期乙二醇供增需减，市场交投气氛回落，港口到港本周有所延迟，主港乙二醇发货出现回落，乙二醇基差月差周环比小幅走弱。供应方面，乙二醇国内产量回升速度依旧较慢，9月从涉及检修和重启装置统计来看乙二醇月开工率环比变动不大。近期乙二醇内外盘价差缩小，8月下旬乙二醇合约货到港较为集中，港口库存预期回升。需求方面聚酯整体库存依旧偏高，终端织造订单在高温天气缓和影响下局部改善。价格可能维持震荡走势。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2632"/>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3122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期价震荡调整</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在近期期价反弹过程中，11月和1月合约表现相对突出，这主要源于两个方面的原因，其一是市场传言称国家有意控制四季度进口谷物数量，其二是市场担心新旧作衔接问题，因市场预期中的贸易商去库并未出现，反而是中下游库存持续下降，导致各地现货均出现上涨苗头。在这种情况下，我们可以认为市场利空已经在很大程度上得到反映，接下来需要留意的是新作上市压力预期，但考虑到今年天气异常带来潜在的减产，不排除这一问题让位于现货，再加上市场对下一年度供需预估较当前年度紧张，甚至不排除市场逐步趋于乐观，提前进入补库周期的可能性。综上所述，我们维持谨慎看多观点，建议谨慎投资者观望，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除近月外多有走扩，主要源于影响价差的三个方面因素均转向利多，其一是行业供需趋于改善即行业库存继续下滑，其二是副产品端因外盘美豆带动国内蛋白粕继续弱势，其三是原料成本端华北玉米率先反弹。再加上淀粉现货基差高企，而盘面生产利润为负，淀粉-玉米价差有望继续走扩。综上所述，我们维持谨慎看多观点，建议谨慎投资者观望或持有做扩淀粉-玉米价差，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043"/>
      <w:r>
        <w:rPr>
          <w:rFonts w:hint="eastAsia" w:ascii="楷体" w:hAnsi="楷体" w:eastAsia="楷体"/>
          <w:b/>
          <w:bCs/>
          <w:color w:val="000000" w:themeColor="text1"/>
          <w14:textFill>
            <w14:solidFill>
              <w14:schemeClr w14:val="tx1"/>
            </w14:solidFill>
          </w14:textFill>
        </w:rPr>
        <w:t>畜禽养殖：留意生猪现货走势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转为近弱远强，近月受现货带动大幅下跌，因市场担心现货高点已经出现，后期将持续弱势；而远月相对抗跌，主要原因有二，其一是前期已经大幅下跌，在一定程度上反映后期供需改善预期，其二是市场看跌预期或导致养殖户抑制供应端，缓解远期供需过剩。在理解盘面的基础上看，远月关注供需改善幅度及其饲料成本预期，考虑到远月期价贴近，目前证伪难度较大；近月更多关注节奏，特别是生猪出栏恢复的进度与生猪出栏体重的变化，这里面需要跟过去两年做个比较，2022年更多源于市场压栏和新冠疫情，2023年更多源于非瘟疫情和资金链因素。与过去两年相比，当前生猪出栏体重逼近2022年，再加上近期肥标价差出现较大回落，使得市场担心现货高点已经出现，有望带动一波出栏，继而通过现货带动期价回落，但也暂不宜过分悲观，因今年新生仔猪数量底部出现在3-4月，对应生猪出栏量大致在9-10月。综上所述，我们转为中性观点，建议投资者前期近月合约多单离场后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期价结构整体表现为近强远弱，近月更多受现货和基差支撑，而远月弱势主要源于两个方面，其一是供应恢复的预期，这可以从大小蛋价差处于历史高位得到印证，其二是饲料成本的下跌，在同等利润水平下鸡蛋现货绝对价格更低。从市场逻辑出发，主要关注这两个方面会否存在问题，后者即饲料成本目前看豆粕和玉米依然弱势，暂时无法证伪，但前者可能存在问题，今年年后以来现货整体表现强于预期，应该更多源于供应端的因素，这可能源于春节前后补栏积极性下降而淘汰积极性上升，因当时蛋鸡苗价格处于历史低位，而多家机构数据均显示去年底以来蛋鸡淘汰量同比大幅增加。而就当下而言，鸡蛋现货仍处于季节性旺季阶段，虽然市场预期悲观，但现货持续坚挺，虽绝对价格尚未超过往年同期，但对应的养殖利润已是历史同期最高水平，因此，我们基于现货基差支撑，仍相对看好近月合约。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8735"/>
      <w:r>
        <w:rPr>
          <w:rFonts w:hint="eastAsia" w:ascii="楷体" w:hAnsi="楷体" w:eastAsia="楷体"/>
          <w:b/>
          <w:bCs/>
          <w:color w:val="000000" w:themeColor="text1"/>
          <w14:textFill>
            <w14:solidFill>
              <w14:schemeClr w14:val="tx1"/>
            </w14:solidFill>
          </w14:textFill>
        </w:rPr>
        <w:t>白糖：震荡偏强</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上涨1.28%和1.78%。据外电8月29日消息，印度政府周四通知称，将允许糖厂在11月1日开始的新市场年度使用甘蔗汁或糖浆生产乙醇。在甘蔗作物受到低于平均水平的季风降雨打击后，印度于2023年12月对糖生产乙醇实施限制，以增加糖产量。国内隔日夜盘，白糖主力01合约上涨0.09%。久跌后基差过大，叠加外盘暴涨走势，预计白糖震荡偏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0478"/>
      <w:r>
        <w:rPr>
          <w:rFonts w:hint="eastAsia" w:ascii="楷体" w:hAnsi="楷体" w:eastAsia="楷体"/>
          <w:b/>
          <w:bCs/>
          <w:color w:val="000000" w:themeColor="text1"/>
          <w14:textFill>
            <w14:solidFill>
              <w14:schemeClr w14:val="tx1"/>
            </w14:solidFill>
          </w14:textFill>
        </w:rPr>
        <w:t>棉花：预计郑棉震荡整理，背靠1.4万逢高布局空单</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隔日外盘ICE美棉主力上涨1.95%，多空双方激烈争夺70美分/磅关口。美国农业部( USDA ）周四公布的出口销售报告显示，8月22日止当周，美国当前市场年度棉花出口销售净增13.52万包，新销售15.76万包。国内隔日夜盘，郑棉主力2501主力合约下跌0.07%。随着金九的临近，纺织订单出现边际回暖。郑棉在长期下滑过程中大量利空释放，盘面也积累了大量空头获利资金。近期技术指标略有好转，空头止盈，叠加订单的边际回暖，2501主力合约反弹。但进口棉花棉纱维持高位，新季丰产预期未改，反弹高度受限，逢高轻仓试空。</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8989"/>
      <w:r>
        <w:rPr>
          <w:rFonts w:hint="eastAsia" w:ascii="楷体" w:hAnsi="楷体" w:eastAsia="楷体"/>
          <w:b/>
          <w:bCs/>
          <w:color w:val="000000" w:themeColor="text1"/>
          <w14:textFill>
            <w14:solidFill>
              <w14:schemeClr w14:val="tx1"/>
            </w14:solidFill>
          </w14:textFill>
        </w:rPr>
        <w:t>蛋白粕：USDA公布出口数据较好，美豆价格向上修复</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豆上涨1.56%，盘中达到高位992.75美分/磅，期价向1000修复。昨日夜盘豆二上涨0.14%，豆粕上涨0.43%。昨日USDA公布出口数据，截止8月22日当周，本年度美豆出口较上周增加228%；下一年度美豆出口净增261.58万吨，高于市场预估。美豆出口装船54.23万吨，较上周增29%，较前四周均值增39%。出口数据表现较好，期价再度反弹。菜籽方面，加拿大2024油菜籽产量较上年增1.6%，供应依旧充足，国内菜粕主要跟随豆粕变动。目前外盘美豆需求有所改善，而国内变动不明显，基本面偏弱但又受外盘上涨带动，震荡对待。</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7262"/>
      <w:r>
        <w:rPr>
          <w:rFonts w:hint="eastAsia" w:ascii="楷体" w:hAnsi="楷体" w:eastAsia="楷体"/>
          <w:b/>
          <w:bCs/>
          <w:color w:val="000000" w:themeColor="text1"/>
          <w14:textFill>
            <w14:solidFill>
              <w14:schemeClr w14:val="tx1"/>
            </w14:solidFill>
          </w14:textFill>
        </w:rPr>
        <w:t>油脂类：棕榈油再度上涨，短期仍有上涨可能</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0.52%，菜油上涨0.82%，棕榈油上涨0.55%，棕榈油再度上涨。即将到来的印度排灯节和全球的圣诞节是食用油消费的旺季。排灯节尤其会导致包括棕榈油在内的食用油需求激增。而圣诞节期间对各种食品需求增加，亦支持棕榈油用量的增加。因此，在马棕油支撑较强的情况下，期价回落后再度上涨。国内市场，国内豆油成交增加，因高校开学以及中秋需求提振。国内油脂期货更多跟随国际油脂而动，消费旺季来临，整体油脂偏强势头延续。短线偏多思路，快进快出。</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1261"/>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11244"/>
      <w:r>
        <w:rPr>
          <w:rFonts w:hint="eastAsia" w:ascii="Times New Roman" w:hAnsi="Times New Roman" w:eastAsia="楷体"/>
          <w:b/>
          <w:color w:val="000000" w:themeColor="text1"/>
          <w:sz w:val="24"/>
          <w:szCs w:val="24"/>
          <w14:textFill>
            <w14:solidFill>
              <w14:schemeClr w14:val="tx1"/>
            </w14:solidFill>
          </w14:textFill>
        </w:rPr>
        <w:t>集运指数（欧线）：船司计划取消部分航次，期价小幅下跌</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2.16%至2433.1。9月欧线运力微降，近期船司40GP报价平均约6100美元附近。MSC发布航行计划调整公告，考虑到国庆黄金周以及随后的需求放缓，取消部分航次。德鲁里停航数据显示，8.26至9.29的第35-39周，主要贸易航线的取消率为8%。欧地航线绕行比例正常波动，需求季节性转弱，货量减弱为船司带来降价压力，欧线现货运价维持跌势。期价波动或加剧，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12779"/>
      <w:bookmarkStart w:id="45" w:name="_Toc72481108"/>
      <w:bookmarkStart w:id="46" w:name="_Toc19667"/>
      <w:bookmarkStart w:id="47" w:name="_Toc71212556"/>
      <w:bookmarkStart w:id="48" w:name="_Toc98426751"/>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2024年8月30日星期五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2024-08-30T01:48:31Z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