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0" w:name="_GoBack"/>
          <w:bookmarkEnd w:id="50"/>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_Toc17523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_Toc19200 </w:instrText>
          </w:r>
          <w:r>
            <w:rPr>
              <w:bCs/>
            </w:rPr>
            <w:fldChar w:fldCharType="separate"/>
          </w:r>
          <w:r>
            <w:rPr>
              <w:rFonts w:hint="eastAsia" w:ascii="Times New Roman" w:hAnsi="Times New Roman" w:eastAsia="楷体"/>
              <w:szCs w:val="24"/>
            </w:rPr>
            <w:t>股指：多IF空IM继续持有</w:t>
          </w:r>
          <w:r>
            <w:rPr>
              <w:bCs/>
            </w:rPr>
            <w:fldChar w:fldCharType="end"/>
          </w:r>
        </w:p>
        <w:p>
          <w:pPr>
            <w:pStyle w:val="59"/>
            <w:tabs>
              <w:tab w:val="right" w:leader="dot" w:pos="8306"/>
            </w:tabs>
          </w:pPr>
          <w:r>
            <w:rPr>
              <w:bCs/>
            </w:rPr>
            <w:fldChar w:fldCharType="begin"/>
          </w:r>
          <w:r>
            <w:rPr>
              <w:bCs/>
            </w:rPr>
            <w:instrText xml:space="preserve"> HYPERLINK \l _Toc8316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_Toc8403 </w:instrText>
          </w:r>
          <w:r>
            <w:rPr>
              <w:bCs/>
            </w:rPr>
            <w:fldChar w:fldCharType="separate"/>
          </w:r>
          <w:r>
            <w:rPr>
              <w:rFonts w:hint="eastAsia" w:ascii="Times New Roman" w:hAnsi="Times New Roman" w:eastAsia="楷体"/>
              <w:szCs w:val="24"/>
            </w:rPr>
            <w:t>贵金属：美元指数下跌，贵金属价格小幅反弹</w:t>
          </w:r>
          <w:r>
            <w:rPr>
              <w:bCs/>
            </w:rPr>
            <w:fldChar w:fldCharType="end"/>
          </w:r>
        </w:p>
        <w:p>
          <w:pPr>
            <w:pStyle w:val="59"/>
            <w:tabs>
              <w:tab w:val="right" w:leader="dot" w:pos="8306"/>
            </w:tabs>
          </w:pPr>
          <w:r>
            <w:rPr>
              <w:bCs/>
            </w:rPr>
            <w:fldChar w:fldCharType="begin"/>
          </w:r>
          <w:r>
            <w:rPr>
              <w:bCs/>
            </w:rPr>
            <w:instrText xml:space="preserve"> HYPERLINK \l _Toc10456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_Toc4951 </w:instrText>
          </w:r>
          <w:r>
            <w:rPr>
              <w:bCs/>
            </w:rPr>
            <w:fldChar w:fldCharType="separate"/>
          </w:r>
          <w:r>
            <w:rPr>
              <w:rFonts w:hint="eastAsia" w:ascii="楷体" w:hAnsi="楷体" w:eastAsia="楷体"/>
              <w:szCs w:val="24"/>
            </w:rPr>
            <w:t>碳酸锂：锂企竞拍碳酸锂产品，期价小幅下跌</w:t>
          </w:r>
          <w:r>
            <w:rPr>
              <w:bCs/>
            </w:rPr>
            <w:fldChar w:fldCharType="end"/>
          </w:r>
        </w:p>
        <w:p>
          <w:pPr>
            <w:pStyle w:val="74"/>
            <w:tabs>
              <w:tab w:val="right" w:leader="dot" w:pos="8306"/>
            </w:tabs>
          </w:pPr>
          <w:r>
            <w:rPr>
              <w:bCs/>
            </w:rPr>
            <w:fldChar w:fldCharType="begin"/>
          </w:r>
          <w:r>
            <w:rPr>
              <w:bCs/>
            </w:rPr>
            <w:instrText xml:space="preserve"> HYPERLINK \l _Toc13093 </w:instrText>
          </w:r>
          <w:r>
            <w:rPr>
              <w:bCs/>
            </w:rPr>
            <w:fldChar w:fldCharType="separate"/>
          </w:r>
          <w:r>
            <w:rPr>
              <w:rFonts w:hint="eastAsia" w:ascii="楷体" w:hAnsi="楷体" w:eastAsia="楷体"/>
              <w:szCs w:val="24"/>
            </w:rPr>
            <w:t>铝：市场悲观情绪压制铝价</w:t>
          </w:r>
          <w:r>
            <w:rPr>
              <w:bCs/>
            </w:rPr>
            <w:fldChar w:fldCharType="end"/>
          </w:r>
        </w:p>
        <w:p>
          <w:pPr>
            <w:pStyle w:val="74"/>
            <w:tabs>
              <w:tab w:val="right" w:leader="dot" w:pos="8306"/>
            </w:tabs>
          </w:pPr>
          <w:r>
            <w:rPr>
              <w:bCs/>
            </w:rPr>
            <w:fldChar w:fldCharType="begin"/>
          </w:r>
          <w:r>
            <w:rPr>
              <w:bCs/>
            </w:rPr>
            <w:instrText xml:space="preserve"> HYPERLINK \l _Toc16655 </w:instrText>
          </w:r>
          <w:r>
            <w:rPr>
              <w:bCs/>
            </w:rPr>
            <w:fldChar w:fldCharType="separate"/>
          </w:r>
          <w:r>
            <w:rPr>
              <w:rFonts w:hint="eastAsia" w:ascii="楷体" w:hAnsi="楷体" w:eastAsia="楷体"/>
              <w:szCs w:val="24"/>
            </w:rPr>
            <w:t>锌：宏观情绪压制锌价</w:t>
          </w:r>
          <w:r>
            <w:rPr>
              <w:bCs/>
            </w:rPr>
            <w:fldChar w:fldCharType="end"/>
          </w:r>
        </w:p>
        <w:p>
          <w:pPr>
            <w:pStyle w:val="74"/>
            <w:tabs>
              <w:tab w:val="right" w:leader="dot" w:pos="8306"/>
            </w:tabs>
          </w:pPr>
          <w:r>
            <w:rPr>
              <w:bCs/>
            </w:rPr>
            <w:fldChar w:fldCharType="begin"/>
          </w:r>
          <w:r>
            <w:rPr>
              <w:bCs/>
            </w:rPr>
            <w:instrText xml:space="preserve"> HYPERLINK \l _Toc28098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：仍有下行压力，关注美国非农数据</w:t>
          </w:r>
          <w:r>
            <w:rPr>
              <w:bCs/>
            </w:rPr>
            <w:fldChar w:fldCharType="end"/>
          </w:r>
        </w:p>
        <w:p>
          <w:pPr>
            <w:pStyle w:val="74"/>
            <w:tabs>
              <w:tab w:val="right" w:leader="dot" w:pos="8306"/>
            </w:tabs>
          </w:pPr>
          <w:r>
            <w:rPr>
              <w:bCs/>
            </w:rPr>
            <w:fldChar w:fldCharType="begin"/>
          </w:r>
          <w:r>
            <w:rPr>
              <w:bCs/>
            </w:rPr>
            <w:instrText xml:space="preserve"> HYPERLINK \l _Toc18693 </w:instrText>
          </w:r>
          <w:r>
            <w:rPr>
              <w:bCs/>
            </w:rPr>
            <w:fldChar w:fldCharType="separate"/>
          </w:r>
          <w:r>
            <w:rPr>
              <w:rFonts w:hint="eastAsia" w:ascii="楷体" w:hAnsi="楷体" w:eastAsia="楷体"/>
              <w:szCs w:val="24"/>
            </w:rPr>
            <w:t>镍：短期镍价或偏弱震荡</w:t>
          </w:r>
          <w:r>
            <w:rPr>
              <w:bCs/>
            </w:rPr>
            <w:fldChar w:fldCharType="end"/>
          </w:r>
        </w:p>
        <w:p>
          <w:pPr>
            <w:pStyle w:val="74"/>
            <w:tabs>
              <w:tab w:val="right" w:leader="dot" w:pos="8306"/>
            </w:tabs>
          </w:pPr>
          <w:r>
            <w:rPr>
              <w:bCs/>
            </w:rPr>
            <w:fldChar w:fldCharType="begin"/>
          </w:r>
          <w:r>
            <w:rPr>
              <w:bCs/>
            </w:rPr>
            <w:instrText xml:space="preserve"> HYPERLINK \l _Toc9496 </w:instrText>
          </w:r>
          <w:r>
            <w:rPr>
              <w:bCs/>
            </w:rPr>
            <w:fldChar w:fldCharType="separate"/>
          </w:r>
          <w:r>
            <w:rPr>
              <w:rFonts w:hint="eastAsia" w:ascii="楷体" w:hAnsi="楷体" w:eastAsia="楷体"/>
              <w:szCs w:val="24"/>
            </w:rPr>
            <w:t>不锈钢：宏观氛围偏空，价格承压</w:t>
          </w:r>
          <w:r>
            <w:rPr>
              <w:bCs/>
            </w:rPr>
            <w:fldChar w:fldCharType="end"/>
          </w:r>
        </w:p>
        <w:p>
          <w:pPr>
            <w:pStyle w:val="74"/>
            <w:tabs>
              <w:tab w:val="right" w:leader="dot" w:pos="8306"/>
            </w:tabs>
          </w:pPr>
          <w:r>
            <w:rPr>
              <w:bCs/>
            </w:rPr>
            <w:fldChar w:fldCharType="begin"/>
          </w:r>
          <w:r>
            <w:rPr>
              <w:bCs/>
            </w:rPr>
            <w:instrText xml:space="preserve"> HYPERLINK \l _Toc20857 </w:instrText>
          </w:r>
          <w:r>
            <w:rPr>
              <w:bCs/>
            </w:rPr>
            <w:fldChar w:fldCharType="separate"/>
          </w:r>
          <w:r>
            <w:rPr>
              <w:rFonts w:hint="eastAsia" w:ascii="楷体" w:hAnsi="楷体" w:eastAsia="楷体"/>
              <w:szCs w:val="24"/>
            </w:rPr>
            <w:t>工业硅：旺季需求预期减弱，反弹压力仍存</w:t>
          </w:r>
          <w:r>
            <w:rPr>
              <w:bCs/>
            </w:rPr>
            <w:fldChar w:fldCharType="end"/>
          </w:r>
        </w:p>
        <w:p>
          <w:pPr>
            <w:pStyle w:val="74"/>
            <w:tabs>
              <w:tab w:val="right" w:leader="dot" w:pos="8306"/>
            </w:tabs>
          </w:pPr>
          <w:r>
            <w:rPr>
              <w:bCs/>
            </w:rPr>
            <w:fldChar w:fldCharType="begin"/>
          </w:r>
          <w:r>
            <w:rPr>
              <w:bCs/>
            </w:rPr>
            <w:instrText xml:space="preserve"> HYPERLINK \l _Toc11256 </w:instrText>
          </w:r>
          <w:r>
            <w:rPr>
              <w:bCs/>
            </w:rPr>
            <w:fldChar w:fldCharType="separate"/>
          </w:r>
          <w:r>
            <w:rPr>
              <w:rFonts w:hint="eastAsia" w:ascii="楷体" w:hAnsi="楷体" w:eastAsia="楷体"/>
              <w:szCs w:val="24"/>
            </w:rPr>
            <w:t>螺纹钢：下游刚需采购为主，盘面或将承压运行</w:t>
          </w:r>
          <w:r>
            <w:rPr>
              <w:bCs/>
            </w:rPr>
            <w:fldChar w:fldCharType="end"/>
          </w:r>
        </w:p>
        <w:p>
          <w:pPr>
            <w:pStyle w:val="59"/>
            <w:tabs>
              <w:tab w:val="right" w:leader="dot" w:pos="8306"/>
            </w:tabs>
          </w:pPr>
          <w:r>
            <w:rPr>
              <w:bCs/>
            </w:rPr>
            <w:fldChar w:fldCharType="begin"/>
          </w:r>
          <w:r>
            <w:rPr>
              <w:bCs/>
            </w:rPr>
            <w:instrText xml:space="preserve"> HYPERLINK \l _Toc22849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_Toc18435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原料价格下调 天胶价格延续回落</w:t>
          </w:r>
          <w:r>
            <w:rPr>
              <w:bCs/>
            </w:rPr>
            <w:fldChar w:fldCharType="end"/>
          </w:r>
        </w:p>
        <w:p>
          <w:pPr>
            <w:pStyle w:val="74"/>
            <w:tabs>
              <w:tab w:val="right" w:leader="dot" w:pos="8306"/>
            </w:tabs>
          </w:pPr>
          <w:r>
            <w:rPr>
              <w:bCs/>
            </w:rPr>
            <w:fldChar w:fldCharType="begin"/>
          </w:r>
          <w:r>
            <w:rPr>
              <w:bCs/>
            </w:rPr>
            <w:instrText xml:space="preserve"> HYPERLINK \l _Toc20761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_Toc19000 </w:instrText>
          </w:r>
          <w:r>
            <w:rPr>
              <w:bCs/>
            </w:rPr>
            <w:fldChar w:fldCharType="separate"/>
          </w:r>
          <w:r>
            <w:rPr>
              <w:rFonts w:hint="eastAsia" w:ascii="Times New Roman" w:hAnsi="Times New Roman" w:eastAsia="楷体"/>
              <w:szCs w:val="24"/>
            </w:rPr>
            <w:t>原油：利比亚协议引发油价震荡，原油期货探底后微幅反弹</w:t>
          </w:r>
          <w:r>
            <w:rPr>
              <w:bCs/>
            </w:rPr>
            <w:fldChar w:fldCharType="end"/>
          </w:r>
        </w:p>
        <w:p>
          <w:pPr>
            <w:pStyle w:val="74"/>
            <w:tabs>
              <w:tab w:val="right" w:leader="dot" w:pos="8306"/>
            </w:tabs>
          </w:pPr>
          <w:r>
            <w:rPr>
              <w:bCs/>
            </w:rPr>
            <w:fldChar w:fldCharType="begin"/>
          </w:r>
          <w:r>
            <w:rPr>
              <w:bCs/>
            </w:rPr>
            <w:instrText xml:space="preserve"> HYPERLINK \l _Toc9320 </w:instrText>
          </w:r>
          <w:r>
            <w:rPr>
              <w:bCs/>
            </w:rPr>
            <w:fldChar w:fldCharType="separate"/>
          </w:r>
          <w:r>
            <w:rPr>
              <w:rFonts w:hint="eastAsia" w:ascii="Times New Roman" w:hAnsi="Times New Roman" w:eastAsia="楷体"/>
              <w:szCs w:val="24"/>
            </w:rPr>
            <w:t>燃料油及低硫燃料油：燃料油期货创新低，市场氛围偏空压力显</w:t>
          </w:r>
          <w:r>
            <w:rPr>
              <w:bCs/>
            </w:rPr>
            <w:fldChar w:fldCharType="end"/>
          </w:r>
        </w:p>
        <w:p>
          <w:pPr>
            <w:pStyle w:val="74"/>
            <w:tabs>
              <w:tab w:val="right" w:leader="dot" w:pos="8306"/>
            </w:tabs>
          </w:pPr>
          <w:r>
            <w:rPr>
              <w:bCs/>
            </w:rPr>
            <w:fldChar w:fldCharType="begin"/>
          </w:r>
          <w:r>
            <w:rPr>
              <w:bCs/>
            </w:rPr>
            <w:instrText xml:space="preserve"> HYPERLINK \l _Toc32033 </w:instrText>
          </w:r>
          <w:r>
            <w:rPr>
              <w:bCs/>
            </w:rPr>
            <w:fldChar w:fldCharType="separate"/>
          </w:r>
          <w:r>
            <w:rPr>
              <w:rFonts w:hint="eastAsia" w:ascii="Times New Roman" w:hAnsi="Times New Roman" w:eastAsia="楷体"/>
              <w:szCs w:val="24"/>
            </w:rPr>
            <w:t>沥青：原油企稳，沥青期货微跌，后市趋于稳定</w:t>
          </w:r>
          <w:r>
            <w:rPr>
              <w:bCs/>
            </w:rPr>
            <w:fldChar w:fldCharType="end"/>
          </w:r>
        </w:p>
        <w:p>
          <w:pPr>
            <w:pStyle w:val="74"/>
            <w:tabs>
              <w:tab w:val="right" w:leader="dot" w:pos="8306"/>
            </w:tabs>
          </w:pPr>
          <w:r>
            <w:rPr>
              <w:bCs/>
            </w:rPr>
            <w:fldChar w:fldCharType="begin"/>
          </w:r>
          <w:r>
            <w:rPr>
              <w:bCs/>
            </w:rPr>
            <w:instrText xml:space="preserve"> HYPERLINK \l _Toc21837 </w:instrText>
          </w:r>
          <w:r>
            <w:rPr>
              <w:bCs/>
            </w:rPr>
            <w:fldChar w:fldCharType="separate"/>
          </w:r>
          <w:r>
            <w:rPr>
              <w:rFonts w:hint="eastAsia" w:ascii="Times New Roman" w:hAnsi="Times New Roman" w:eastAsia="楷体"/>
              <w:szCs w:val="24"/>
            </w:rPr>
            <w:t>PTA：后市仍存累库压力 维持震荡偏弱思路看待</w:t>
          </w:r>
          <w:r>
            <w:rPr>
              <w:bCs/>
            </w:rPr>
            <w:fldChar w:fldCharType="end"/>
          </w:r>
        </w:p>
        <w:p>
          <w:pPr>
            <w:pStyle w:val="74"/>
            <w:tabs>
              <w:tab w:val="right" w:leader="dot" w:pos="8306"/>
            </w:tabs>
          </w:pPr>
          <w:r>
            <w:rPr>
              <w:bCs/>
            </w:rPr>
            <w:fldChar w:fldCharType="begin"/>
          </w:r>
          <w:r>
            <w:rPr>
              <w:bCs/>
            </w:rPr>
            <w:instrText xml:space="preserve"> HYPERLINK \l _Toc7476 </w:instrText>
          </w:r>
          <w:r>
            <w:rPr>
              <w:bCs/>
            </w:rPr>
            <w:fldChar w:fldCharType="separate"/>
          </w:r>
          <w:r>
            <w:rPr>
              <w:rFonts w:hint="eastAsia" w:ascii="Times New Roman" w:hAnsi="Times New Roman" w:eastAsia="楷体"/>
              <w:szCs w:val="24"/>
            </w:rPr>
            <w:t>乙二醇：下游聚酯需求存改善预期 乙二醇或维持震荡走势</w:t>
          </w:r>
          <w:r>
            <w:rPr>
              <w:bCs/>
            </w:rPr>
            <w:fldChar w:fldCharType="end"/>
          </w:r>
        </w:p>
        <w:p>
          <w:pPr>
            <w:pStyle w:val="59"/>
            <w:tabs>
              <w:tab w:val="right" w:leader="dot" w:pos="8306"/>
            </w:tabs>
          </w:pPr>
          <w:r>
            <w:rPr>
              <w:bCs/>
            </w:rPr>
            <w:fldChar w:fldCharType="begin"/>
          </w:r>
          <w:r>
            <w:rPr>
              <w:bCs/>
            </w:rPr>
            <w:instrText xml:space="preserve"> HYPERLINK \l _Toc11759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_Toc30046 </w:instrText>
          </w:r>
          <w:r>
            <w:rPr>
              <w:bCs/>
            </w:rPr>
            <w:fldChar w:fldCharType="separate"/>
          </w:r>
          <w:r>
            <w:rPr>
              <w:rFonts w:hint="eastAsia" w:ascii="楷体" w:hAnsi="楷体" w:eastAsia="楷体"/>
              <w:bCs/>
            </w:rPr>
            <w:t>玉米与淀粉：</w:t>
          </w:r>
          <w:r>
            <w:rPr>
              <w:rFonts w:hint="eastAsia" w:ascii="楷体" w:hAnsi="楷体" w:eastAsia="楷体"/>
            </w:rPr>
            <w:t>期价略有反弹</w:t>
          </w:r>
          <w:r>
            <w:rPr>
              <w:bCs/>
            </w:rPr>
            <w:fldChar w:fldCharType="end"/>
          </w:r>
        </w:p>
        <w:p>
          <w:pPr>
            <w:pStyle w:val="74"/>
            <w:tabs>
              <w:tab w:val="right" w:leader="dot" w:pos="8306"/>
            </w:tabs>
          </w:pPr>
          <w:r>
            <w:rPr>
              <w:bCs/>
            </w:rPr>
            <w:fldChar w:fldCharType="begin"/>
          </w:r>
          <w:r>
            <w:rPr>
              <w:bCs/>
            </w:rPr>
            <w:instrText xml:space="preserve"> HYPERLINK \l _Toc22880 </w:instrText>
          </w:r>
          <w:r>
            <w:rPr>
              <w:bCs/>
            </w:rPr>
            <w:fldChar w:fldCharType="separate"/>
          </w:r>
          <w:r>
            <w:rPr>
              <w:rFonts w:hint="eastAsia" w:ascii="楷体" w:hAnsi="楷体" w:eastAsia="楷体"/>
              <w:bCs/>
            </w:rPr>
            <w:t>畜禽养殖：鸡蛋期价小幅回落</w:t>
          </w:r>
          <w:r>
            <w:rPr>
              <w:bCs/>
            </w:rPr>
            <w:fldChar w:fldCharType="end"/>
          </w:r>
        </w:p>
        <w:p>
          <w:pPr>
            <w:pStyle w:val="74"/>
            <w:tabs>
              <w:tab w:val="right" w:leader="dot" w:pos="8306"/>
            </w:tabs>
          </w:pPr>
          <w:r>
            <w:rPr>
              <w:bCs/>
            </w:rPr>
            <w:fldChar w:fldCharType="begin"/>
          </w:r>
          <w:r>
            <w:rPr>
              <w:bCs/>
            </w:rPr>
            <w:instrText xml:space="preserve"> HYPERLINK \l _Toc18650 </w:instrText>
          </w:r>
          <w:r>
            <w:rPr>
              <w:bCs/>
            </w:rPr>
            <w:fldChar w:fldCharType="separate"/>
          </w:r>
          <w:r>
            <w:rPr>
              <w:rFonts w:hint="eastAsia" w:ascii="楷体" w:hAnsi="楷体" w:eastAsia="楷体"/>
              <w:bCs/>
            </w:rPr>
            <w:t>白糖：震荡整理</w:t>
          </w:r>
          <w:r>
            <w:rPr>
              <w:bCs/>
            </w:rPr>
            <w:fldChar w:fldCharType="end"/>
          </w:r>
        </w:p>
        <w:p>
          <w:pPr>
            <w:pStyle w:val="74"/>
            <w:tabs>
              <w:tab w:val="right" w:leader="dot" w:pos="8306"/>
            </w:tabs>
          </w:pPr>
          <w:r>
            <w:rPr>
              <w:bCs/>
            </w:rPr>
            <w:fldChar w:fldCharType="begin"/>
          </w:r>
          <w:r>
            <w:rPr>
              <w:bCs/>
            </w:rPr>
            <w:instrText xml:space="preserve"> HYPERLINK \l _Toc2203 </w:instrText>
          </w:r>
          <w:r>
            <w:rPr>
              <w:bCs/>
            </w:rPr>
            <w:fldChar w:fldCharType="separate"/>
          </w:r>
          <w:r>
            <w:rPr>
              <w:rFonts w:hint="eastAsia" w:ascii="楷体" w:hAnsi="楷体" w:eastAsia="楷体"/>
              <w:bCs/>
            </w:rPr>
            <w:t>棉花：预计郑棉震荡整理</w:t>
          </w:r>
          <w:r>
            <w:rPr>
              <w:bCs/>
            </w:rPr>
            <w:fldChar w:fldCharType="end"/>
          </w:r>
        </w:p>
        <w:p>
          <w:pPr>
            <w:pStyle w:val="74"/>
            <w:tabs>
              <w:tab w:val="right" w:leader="dot" w:pos="8306"/>
            </w:tabs>
          </w:pPr>
          <w:r>
            <w:rPr>
              <w:bCs/>
            </w:rPr>
            <w:fldChar w:fldCharType="begin"/>
          </w:r>
          <w:r>
            <w:rPr>
              <w:bCs/>
            </w:rPr>
            <w:instrText xml:space="preserve"> HYPERLINK \l _Toc15548 </w:instrText>
          </w:r>
          <w:r>
            <w:rPr>
              <w:bCs/>
            </w:rPr>
            <w:fldChar w:fldCharType="separate"/>
          </w:r>
          <w:r>
            <w:rPr>
              <w:rFonts w:hint="eastAsia" w:ascii="楷体" w:hAnsi="楷体" w:eastAsia="楷体"/>
              <w:bCs/>
            </w:rPr>
            <w:t>蛋白粕：豆系上涨，粕类表现较为强势</w:t>
          </w:r>
          <w:r>
            <w:rPr>
              <w:bCs/>
            </w:rPr>
            <w:fldChar w:fldCharType="end"/>
          </w:r>
        </w:p>
        <w:p>
          <w:pPr>
            <w:pStyle w:val="74"/>
            <w:tabs>
              <w:tab w:val="right" w:leader="dot" w:pos="8306"/>
            </w:tabs>
          </w:pPr>
          <w:r>
            <w:rPr>
              <w:bCs/>
            </w:rPr>
            <w:fldChar w:fldCharType="begin"/>
          </w:r>
          <w:r>
            <w:rPr>
              <w:bCs/>
            </w:rPr>
            <w:instrText xml:space="preserve"> HYPERLINK \l _Toc11358 </w:instrText>
          </w:r>
          <w:r>
            <w:rPr>
              <w:bCs/>
            </w:rPr>
            <w:fldChar w:fldCharType="separate"/>
          </w:r>
          <w:r>
            <w:rPr>
              <w:rFonts w:hint="eastAsia" w:ascii="楷体" w:hAnsi="楷体" w:eastAsia="楷体"/>
              <w:bCs/>
            </w:rPr>
            <w:t>油脂类：期价回落调整，后续仍有做多机会</w:t>
          </w:r>
          <w:r>
            <w:rPr>
              <w:bCs/>
            </w:rPr>
            <w:fldChar w:fldCharType="end"/>
          </w:r>
        </w:p>
        <w:p>
          <w:pPr>
            <w:pStyle w:val="59"/>
            <w:tabs>
              <w:tab w:val="right" w:leader="dot" w:pos="8306"/>
            </w:tabs>
          </w:pPr>
          <w:r>
            <w:rPr>
              <w:bCs/>
            </w:rPr>
            <w:fldChar w:fldCharType="begin"/>
          </w:r>
          <w:r>
            <w:rPr>
              <w:bCs/>
            </w:rPr>
            <w:instrText xml:space="preserve"> HYPERLINK \l _Toc18136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_Toc21236 </w:instrText>
          </w:r>
          <w:r>
            <w:rPr>
              <w:bCs/>
            </w:rPr>
            <w:fldChar w:fldCharType="separate"/>
          </w:r>
          <w:r>
            <w:rPr>
              <w:rFonts w:hint="eastAsia" w:ascii="Times New Roman" w:hAnsi="Times New Roman" w:eastAsia="楷体"/>
              <w:szCs w:val="24"/>
            </w:rPr>
            <w:t>集运指数（欧线）：运价整体下行，集运指数维持跌势</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752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920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多IF空IM继续持有</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末8月PMI公布，不及市场预期。昨日开盘后A股单边下挫，截至收盘，沪指跌逾1%退守2800点，创本轮调整新低，市场成交额7084.7亿元。对于8月末反弹行情是否能持续的首要是关注是成交量方面会否出现持续放量，一旦量能再度出现明显萎缩，市场仍有继续磨底风险，尤其是9月中下旬市场即将迎来中秋、国庆双节，可能会影响资金的交投意愿，对A股流动性仍是一大考验。再者则是两条交易线索：其一是，疲弱的经济数据触发逆周期政策的发力，使得市场风格回归均衡，使得小盘成长出现超跌反弹，但政策的调整大概率是一个渐进式的过程；其二是，美联储预防式降息交易，大概率幅度不会特别高，但为全球风险资产提供了反弹的有利环境。后续需观察国内宽货币的跟进力度，国内宽财政执行改善及效果的乐观预期发酵，如果想象空间受限，则市场对于中期基本面压力的担忧会继续给市场施加调整压力。综合来说，前期提出的多IF空IM组合策略仍可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831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8403"/>
      <w:r>
        <w:rPr>
          <w:rFonts w:hint="eastAsia" w:ascii="Times New Roman" w:hAnsi="Times New Roman" w:eastAsia="楷体"/>
          <w:b/>
          <w:color w:val="000000" w:themeColor="text1"/>
          <w:sz w:val="24"/>
          <w:szCs w:val="24"/>
          <w14:textFill>
            <w14:solidFill>
              <w14:schemeClr w14:val="tx1"/>
            </w14:solidFill>
          </w14:textFill>
        </w:rPr>
        <w:t>贵金属：美元指数下跌，贵金属价格小幅反弹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跌0.46%至101.29，沪金涨0.14%至570.22元/克，沪银涨0.11%至7125元/千克。美联储褐皮书显示，经济活动在三个地区略有增长，报告经济活动持平或下降的地区增加到9个。美国7月JOLTs职位空缺767.3万人，预期810万人，前值从818.4万人修正为791万人。贵金属价格区间震荡，关注周四的美国ISM非制造业PMI，以及周内多项美国就业数据公布情况，市场或基于最新经济数据表现调整对于美国经济基本面以及美联储降息节奏的预期。留意回调带来多头逢低布局机会，后续降息落地或仍支撑贵金属价格表现。</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1045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4951"/>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碳酸锂：锂企竞拍碳酸锂产品，期价小幅下跌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下行，期价小幅下跌，11合约跌1.34%至73600元/吨。新浪报道，雅保9月4日线上举办碳酸锂竞标活动，招标结果竞标价格最低为73035元/吨。下游正极材料及电芯厂商排产向好，旺季需求存在回暖预期，碳酸锂库存略微去化。后续关注下游传统旺季备库需求释放情况，期价或偏弱窄幅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1309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市场悲观情绪压制铝价</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美国ISM公布的PMI 数据落于收缩区间，市场对全球经济衰退担忧再起，宏观情绪悲观引领盘面下跌。上游矿端供应持续趋向紧张，电解铝厂氧化铝库存低位，氧化铝开产积极，现货端报价坚挺，持续强化电解铝成本支撑，近期四川高温影响叠加降水不足，地区工业用电计划缩减，目前暂未影响当地电解铝生产节奏，国内电解铝冶炼运行产能高位，铸锭库存持续累积，铝棒库存去化较顺畅，下游加工企业开工率除铝杆线外表现较弱，等待金九银十验证旺季消费。成本虽有支撑，供应高位需求暂未明显有效改善情况下，在近期市场情绪偏弱压力下，铝价探底向万九附近支撑试探。</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6655"/>
      <w:r>
        <w:rPr>
          <w:rFonts w:hint="eastAsia" w:ascii="楷体" w:hAnsi="楷体" w:eastAsia="楷体"/>
          <w:b/>
          <w:color w:val="000000" w:themeColor="text1"/>
          <w:sz w:val="24"/>
          <w:szCs w:val="24"/>
          <w14:textFill>
            <w14:solidFill>
              <w14:schemeClr w14:val="tx1"/>
            </w14:solidFill>
          </w14:textFill>
        </w:rPr>
        <w:t>锌：宏观情绪压制锌价</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公布美国ISM制造业PMI数据为47.2，低于市场预期，再度引发市场对全球经济衰退的担忧，宏观承压带领有色价格下行。锌精矿利润丰厚，近期进口矿盈利窗口打开，锌矿进口补充抬升但低于往年同期水平，国内锌精矿产量持续抬升，中游精炼锌冶炼利润负反馈导致产量萎缩，精炼锌进口窗口间接性开启补充相对有限，14家锌企联合调整冶炼生产产能预计影响产需，下游需求来看，镀锌、锌合金、氧化锌开工疲软，其中锌合金开工相对较好，主因新能源汽车及电子电器以旧换新消费刺激，临近金九银十旺季消费仍有乐观预期支撑，目前锌市维持原料紧张-中游被动减产-下游疲弱状态，后续矿端-冶炼端的利润分配情况或有扭转，等待中游冶炼利润逐步修复，9-10月旺季消费预期需求发生改善。基本面变化较小，宏观引领盘面走势，锌价趋弱运行，建议先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8098"/>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：仍有下行压力，关注美国非农数据</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(1)库存：9月4日，SHFE仓单库存123102吨，减4876吨；LME仓单库存318650吨，增850吨。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(2)精废价差：9月4日，Mysteel精废价差788，收窄362。目前价差在合理价差1419之下。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中美制造业数据均呈现疲弱态势，整体市场避险情绪加重，关注本周五晚间美国8月非农数据。基本面，国内库存保持去化，现货转小幅升水，旺季实际需求仍有待观察，短期铜价受宏观主导，或仍有下行压力，关注7万关口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8693"/>
      <w:r>
        <w:rPr>
          <w:rFonts w:hint="eastAsia" w:ascii="楷体" w:hAnsi="楷体" w:eastAsia="楷体"/>
          <w:b/>
          <w:color w:val="000000" w:themeColor="text1"/>
          <w:sz w:val="24"/>
          <w:szCs w:val="24"/>
          <w14:textFill>
            <w14:solidFill>
              <w14:schemeClr w14:val="tx1"/>
            </w14:solidFill>
          </w14:textFill>
        </w:rPr>
        <w:t>镍：短期镍价或偏弱震荡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8月ISM制造业PMI指数录得47.2，体现美国经济下行压力，市场情绪偏空，关注周五晚非农就业数据。镍矿方面，印尼镍矿供应维持紧张局面，镍矿成交价格居高不下。中间品方面，受天气因素干扰，印尼中间品项目边际减产，中间品价格坚挺。硫酸镍方面，原料成本支撑硫酸镍价格，但受制于需求改善力度有限，预计硫酸镍价格持稳为主。综合而言，宏观氛围偏空，弱势基本面也带来压制，短期镍价或偏弱震荡运行，关注12万关口支撑位。</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9496"/>
      <w:r>
        <w:rPr>
          <w:rFonts w:hint="eastAsia" w:ascii="楷体" w:hAnsi="楷体" w:eastAsia="楷体"/>
          <w:b/>
          <w:color w:val="000000" w:themeColor="text1"/>
          <w:sz w:val="24"/>
          <w:szCs w:val="24"/>
          <w14:textFill>
            <w14:solidFill>
              <w14:schemeClr w14:val="tx1"/>
            </w14:solidFill>
          </w14:textFill>
        </w:rPr>
        <w:t>不锈钢：宏观氛围偏空，价格承压</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8月ISM制造业PMI数据不及预期，宏观氛围利空。镍矿方面，印尼镍矿供应紧张为不锈钢产业链形成底部支撑。镍铁方面，镍矿成本坚挺，今日镍铁价格暂稳于1010元/镍（到厂含税）附近，关注负反馈可能性。供应方面，Mysteel预估9月不锈钢粗钢排产为337.57万吨，维持高位水平。需求方面，整体以刚需采购为主，步入金九也仍未见起色。库存方面，上周社会库存为108.65万吨，环比减0.21%。综合而言，宏观受到经济走弱压力，短期需求难有起色，不锈钢期价承压，与此同时，印尼矿端偏紧情况下期价难以继续深跌，维持偏弱震荡观点。</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085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旺季需求预期减弱，反弹压力仍存</w:t>
      </w:r>
      <w:bookmarkEnd w:id="25"/>
    </w:p>
    <w:p>
      <w:pPr>
        <w:ind w:left="630" w:leftChars="300"/>
        <w:rPr>
          <w:rFonts w:ascii="楷体" w:hAnsi="楷体" w:eastAsia="楷体"/>
          <w:sz w:val="24"/>
          <w:szCs w:val="24"/>
        </w:rPr>
      </w:pPr>
      <w:r>
        <w:rPr>
          <w:rFonts w:hint="eastAsia" w:ascii="楷体" w:hAnsi="楷体" w:eastAsia="楷体"/>
          <w:sz w:val="24"/>
          <w:szCs w:val="24"/>
        </w:rPr>
        <w:t>9月4日，Si2411主力合约呈冲高回落走势，收盘价9760元/吨，较上一收盘价涨跌幅+0.26%。从宏观面来看，8月美国ISM制造业PMI为47.2，略低于预期的47.5，较前值46.8小幅反弹，仍处于收缩区间，中美制造业数据均呈现疲弱态势，整体市场避险情绪加重，后续重点关注本周五晚间美国8月非农数据。从基本面来看，行业供需宽松格局暂未扭转，库存压力也依旧较大，市场情绪降温后，盘面反弹压力仍存，但基本面边际有所改善，短期下跌空间或相对有限，后续重点关注旺季补库持续性。策略上，由于宏观情绪波动较大，暂时观望为主。</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6" w:name="_Toc11256"/>
      <w:r>
        <w:rPr>
          <w:rFonts w:hint="eastAsia" w:ascii="楷体" w:hAnsi="楷体" w:eastAsia="楷体"/>
          <w:b/>
          <w:color w:val="000000" w:themeColor="text1"/>
          <w:sz w:val="24"/>
          <w:szCs w:val="24"/>
          <w14:textFill>
            <w14:solidFill>
              <w14:schemeClr w14:val="tx1"/>
            </w14:solidFill>
          </w14:textFill>
        </w:rPr>
        <w:t>螺纹钢：下游刚需采购为主，盘面或将承压运行</w:t>
      </w:r>
      <w:bookmarkEnd w:id="26"/>
    </w:p>
    <w:p>
      <w:pPr>
        <w:ind w:left="630" w:leftChars="300"/>
        <w:rPr>
          <w:rFonts w:ascii="楷体" w:hAnsi="楷体" w:eastAsia="楷体"/>
          <w:sz w:val="24"/>
          <w:szCs w:val="24"/>
        </w:rPr>
      </w:pPr>
      <w:r>
        <w:rPr>
          <w:rFonts w:hint="eastAsia" w:ascii="楷体" w:hAnsi="楷体" w:eastAsia="楷体"/>
          <w:sz w:val="24"/>
          <w:szCs w:val="24"/>
        </w:rPr>
        <w:t>市场进入传统旺季后，需求改善不及预期，现货市场出货不畅，昨日全国成材普遍跌价，下游依旧保持刚需采购为主，同时铁矿石大幅下跌，成本存在下降预期。在缺乏强有力的政策刺激情况下，市场对于旺季需求预期减弱，盘面或将承压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22849"/>
      <w:r>
        <w:rPr>
          <w:rFonts w:hint="eastAsia" w:ascii="Times New Roman" w:hAnsi="Times New Roman" w:eastAsia="楷体"/>
          <w:b/>
          <w:color w:val="823C0B"/>
          <w:sz w:val="30"/>
          <w:szCs w:val="30"/>
        </w:rPr>
        <w:t>[化工]</w:t>
      </w:r>
      <w:bookmarkEnd w:id="27"/>
      <w:bookmarkEnd w:id="28"/>
    </w:p>
    <w:p>
      <w:pPr>
        <w:ind w:firstLine="482" w:firstLineChars="200"/>
        <w:outlineLvl w:val="1"/>
        <w:rPr>
          <w:rFonts w:ascii="楷体" w:hAnsi="楷体" w:eastAsia="楷体"/>
          <w:b/>
          <w:sz w:val="24"/>
          <w:szCs w:val="24"/>
        </w:rPr>
      </w:pPr>
      <w:bookmarkStart w:id="29" w:name="_Toc1843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原料价格下调 天胶价格延续回落</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胶延续回落，主因前期日胶大跌以及成本支撑减弱和开学季家庭长途出游需求下降等因素所致。目前看，产区季节性上量预期仍存，但泰国地区多地发生洪水，同时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涨跌互现，但对胶价底部支撑未出现显著弱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0" w:name="_Toc20761"/>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E方面，成本端油制生产利润较今年一季度改善明显，成本支撑减弱，供应端开工回落，短期临检偏多，后市开工预计小幅震荡。需求端，下游整体需求有回暖预期，预计后市供需均有所回升。PP方面，成本支撑减弱。供应端开工率低位回升，下周久泰能源等5套装置计划重启，检修暂无，供应环比增加。需求端，下游需求暂无明显好转，刚需采购为主。整体看，聚烯烃成本支撑减弱，需求暂无明显好转，且库存中性偏高，预计跟随成本端与工业品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1" w:name="_Toc19000"/>
      <w:r>
        <w:rPr>
          <w:rFonts w:hint="eastAsia" w:ascii="Times New Roman" w:hAnsi="Times New Roman" w:eastAsia="楷体"/>
          <w:b/>
          <w:color w:val="000000" w:themeColor="text1"/>
          <w:sz w:val="24"/>
          <w:szCs w:val="24"/>
          <w14:textFill>
            <w14:solidFill>
              <w14:schemeClr w14:val="tx1"/>
            </w14:solidFill>
          </w14:textFill>
        </w:rPr>
        <w:t>原油：利比亚协议引发油价震荡，原油期货探底后微幅反弹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原油价格跌势稍缓。WTI原油主力合约下跌1.38%，收报69.25美元/桶；布伦特原油主力合约结算价下跌4.78%，报73.67美元/桶；中国原油期货SC主力合约夜盘下跌3.82%，报526.5元/桶。</w:t>
      </w:r>
    </w:p>
    <w:p>
      <w:pPr>
        <w:ind w:left="630" w:leftChars="300"/>
        <w:rPr>
          <w:rFonts w:hint="eastAsia" w:ascii="楷体" w:hAnsi="楷体" w:eastAsia="楷体"/>
          <w:sz w:val="24"/>
          <w:szCs w:val="24"/>
        </w:rPr>
      </w:pPr>
      <w:r>
        <w:rPr>
          <w:rFonts w:hint="eastAsia" w:ascii="楷体" w:hAnsi="楷体" w:eastAsia="楷体"/>
          <w:sz w:val="24"/>
          <w:szCs w:val="24"/>
        </w:rPr>
        <w:t>原油期货价格此番大幅下滑，主要诱因是利比亚央行控制权争夺各方达成协议，预示着北非这一产油国或将重启原油出口。利比亚立法机构代表签署声明，同意在联合国会谈后30天内任命新央行行长，此前该国主要港口原油出口暂停，产量显著下降至59.1万桶/日。此消息与利比亚国家石油公司确认的产量数据相呼应，加剧了市场担忧。</w:t>
      </w:r>
    </w:p>
    <w:p>
      <w:pPr>
        <w:ind w:left="630" w:leftChars="300"/>
        <w:rPr>
          <w:rFonts w:hint="eastAsia" w:ascii="楷体" w:hAnsi="楷体" w:eastAsia="楷体"/>
          <w:sz w:val="24"/>
          <w:szCs w:val="24"/>
        </w:rPr>
      </w:pPr>
      <w:r>
        <w:rPr>
          <w:rFonts w:hint="eastAsia" w:ascii="楷体" w:hAnsi="楷体" w:eastAsia="楷体"/>
          <w:sz w:val="24"/>
          <w:szCs w:val="24"/>
        </w:rPr>
        <w:t>欧佩克+内部因油价跌至九个月低位，正考虑推迟下月增产计划，利比亚石油设施关闭及需求疲软成为主要考量。三位消息人士透露，推迟增产的可能性较大，导致美、布两油短暂回升。同时，欧佩克原油产量已降至年初以来最低，俄罗斯也减少产量，市场焦点重回供需基本面。</w:t>
      </w:r>
    </w:p>
    <w:p>
      <w:pPr>
        <w:ind w:left="630" w:leftChars="300"/>
        <w:rPr>
          <w:rFonts w:hint="eastAsia" w:ascii="楷体" w:hAnsi="楷体" w:eastAsia="楷体"/>
          <w:sz w:val="24"/>
          <w:szCs w:val="24"/>
        </w:rPr>
      </w:pPr>
      <w:r>
        <w:rPr>
          <w:rFonts w:hint="eastAsia" w:ascii="楷体" w:hAnsi="楷体" w:eastAsia="楷体"/>
          <w:sz w:val="24"/>
          <w:szCs w:val="24"/>
        </w:rPr>
        <w:t>美国API原油库存数据远超预期，库欣原油库存亦减少，为油价提供支撑，促使价格小幅反弹。然而，总体来看，原油价格已跌至近九个月最低，中期下跌趋势确立，虽接近去年12月底部，但短线跌幅过大后的反弹不足以逆转整体跌势。</w:t>
      </w:r>
    </w:p>
    <w:p>
      <w:pPr>
        <w:ind w:left="630" w:leftChars="300"/>
        <w:rPr>
          <w:rFonts w:hint="eastAsia" w:ascii="楷体" w:hAnsi="楷体" w:eastAsia="楷体"/>
          <w:sz w:val="24"/>
          <w:szCs w:val="24"/>
        </w:rPr>
      </w:pPr>
      <w:r>
        <w:rPr>
          <w:rFonts w:hint="eastAsia" w:ascii="楷体" w:hAnsi="楷体" w:eastAsia="楷体"/>
          <w:sz w:val="24"/>
          <w:szCs w:val="24"/>
        </w:rPr>
        <w:t>市场正静待9月6日美国就业报告发布，以预判美联储降息动向，同时关注9月5日因假期推迟的EIA石油库存数据，这些因素将继续影响原油价格的短期波动。在当前环境下，原油市场中期下行压力依旧显著。</w:t>
      </w:r>
    </w:p>
    <w:p>
      <w:pPr>
        <w:ind w:left="630" w:leftChars="300"/>
        <w:rPr>
          <w:rFonts w:hint="eastAsia" w:ascii="楷体" w:hAnsi="楷体" w:eastAsia="楷体"/>
          <w:sz w:val="24"/>
          <w:szCs w:val="24"/>
        </w:rPr>
      </w:pPr>
      <w:r>
        <w:rPr>
          <w:rFonts w:hint="eastAsia" w:ascii="楷体" w:hAnsi="楷体" w:eastAsia="楷体"/>
          <w:sz w:val="24"/>
          <w:szCs w:val="24"/>
        </w:rPr>
        <w:t>WTI原油主力合约方面，67.71美元/桶为2023年12月形成底部的低点，应有较强支撑；布伦特原油主力合约方面，72.30美元/桶为2023年12月形成底部的低点，应能提供较强支撑；国内原油期货主力合约SC2410价格关注2023年12月低点519.7元/吨附近的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2" w:name="_Toc9320"/>
      <w:r>
        <w:rPr>
          <w:rFonts w:hint="eastAsia" w:ascii="Times New Roman" w:hAnsi="Times New Roman" w:eastAsia="楷体"/>
          <w:b/>
          <w:color w:val="000000" w:themeColor="text1"/>
          <w:sz w:val="24"/>
          <w:szCs w:val="24"/>
          <w14:textFill>
            <w14:solidFill>
              <w14:schemeClr w14:val="tx1"/>
            </w14:solidFill>
          </w14:textFill>
        </w:rPr>
        <w:t>燃料油及低硫燃料油：燃料油期货创新低，市场氛围偏空压力显</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燃料油主力合约夜盘下跌1.33%，报2755元/吨，再创年内低点；低硫燃料油主力合约夜盘微跌0.43%，报3953元/吨；价差为1198元/吨。</w:t>
      </w:r>
    </w:p>
    <w:p>
      <w:pPr>
        <w:ind w:left="630" w:leftChars="300"/>
        <w:rPr>
          <w:rFonts w:hint="eastAsia" w:ascii="楷体" w:hAnsi="楷体" w:eastAsia="楷体"/>
          <w:sz w:val="24"/>
          <w:szCs w:val="24"/>
        </w:rPr>
      </w:pPr>
      <w:r>
        <w:rPr>
          <w:rFonts w:hint="eastAsia" w:ascii="楷体" w:hAnsi="楷体" w:eastAsia="楷体"/>
          <w:sz w:val="24"/>
          <w:szCs w:val="24"/>
        </w:rPr>
        <w:t>国内成品油零售限价面临下调压力。近期，国际原油价格经历剧烈波动，整体均值呈现下滑趋势，市场因此陷入观望状态，采购意愿低迷，且此状况短期内难以出现根本性好转。同时，尽管已进入传统意义上的“金九”消费旺季，但新能源汽车的普及对燃油车的替代效应日益显著，加之房地产市场的持续低迷，预计9月份成品油市场难以迎来传统的销售高峰，价格上涨势头或将受阻。</w:t>
      </w:r>
    </w:p>
    <w:p>
      <w:pPr>
        <w:ind w:left="630" w:leftChars="300"/>
        <w:rPr>
          <w:rFonts w:hint="eastAsia" w:ascii="楷体" w:hAnsi="楷体" w:eastAsia="楷体"/>
          <w:sz w:val="24"/>
          <w:szCs w:val="24"/>
        </w:rPr>
      </w:pPr>
      <w:r>
        <w:rPr>
          <w:rFonts w:hint="eastAsia" w:ascii="楷体" w:hAnsi="楷体" w:eastAsia="楷体"/>
          <w:sz w:val="24"/>
          <w:szCs w:val="24"/>
        </w:rPr>
        <w:t>从市场消息来看，整体氛围偏空，国产燃料油市场的交易活跃度提升困难，下游商家的采购情绪悲观，导致炼厂出货面临较大压力。燃料油期货价格的大幅下跌，主要是受到宏观经济和地缘政治利空因素的共同影响，以及成本端原油价格的显著下滑所致。此外，低硫燃料油与高硫燃料油之间的供需关系也出现分化，表现为低硫燃料油市场相对强劲，而高硫燃料油市场则较为疲软。</w:t>
      </w:r>
    </w:p>
    <w:p>
      <w:pPr>
        <w:ind w:left="630" w:leftChars="300"/>
        <w:rPr>
          <w:rFonts w:hint="eastAsia" w:ascii="楷体" w:hAnsi="楷体" w:eastAsia="楷体"/>
          <w:sz w:val="24"/>
          <w:szCs w:val="24"/>
        </w:rPr>
      </w:pPr>
      <w:r>
        <w:rPr>
          <w:rFonts w:hint="eastAsia" w:ascii="楷体" w:hAnsi="楷体" w:eastAsia="楷体"/>
          <w:sz w:val="24"/>
          <w:szCs w:val="24"/>
        </w:rPr>
        <w:t>目前，原油价格仍处于不稳定状态，燃料油的成本端支撑力度不足。同时，还需关注夏季发电需求减弱后，中东地区燃料油供应量可能增加的情况，这可能会对低硫和高硫燃料油市场带来新的下行压力。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32033"/>
      <w:r>
        <w:rPr>
          <w:rFonts w:hint="eastAsia" w:ascii="Times New Roman" w:hAnsi="Times New Roman" w:eastAsia="楷体"/>
          <w:b/>
          <w:color w:val="000000" w:themeColor="text1"/>
          <w:sz w:val="24"/>
          <w:szCs w:val="24"/>
          <w14:textFill>
            <w14:solidFill>
              <w14:schemeClr w14:val="tx1"/>
            </w14:solidFill>
          </w14:textFill>
        </w:rPr>
        <w:t>沥青：原油企稳，沥青期货微跌，后市趋于稳定</w:t>
      </w:r>
      <w:bookmarkEnd w:id="33"/>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原油企稳，沥青期货微跌。沥青期货主力合约BU2410夜盘下跌0.15%，收3254元/吨。</w:t>
      </w:r>
    </w:p>
    <w:p>
      <w:pPr>
        <w:ind w:left="630" w:leftChars="300"/>
        <w:rPr>
          <w:rFonts w:hint="eastAsia" w:ascii="楷体" w:hAnsi="楷体" w:eastAsia="楷体"/>
          <w:sz w:val="24"/>
          <w:szCs w:val="24"/>
        </w:rPr>
      </w:pPr>
      <w:r>
        <w:rPr>
          <w:rFonts w:hint="eastAsia" w:ascii="楷体" w:hAnsi="楷体" w:eastAsia="楷体"/>
          <w:sz w:val="24"/>
          <w:szCs w:val="24"/>
        </w:rPr>
        <w:t>今日，国内沥青现货市场表现疲软，均价跌至3666元/吨，较前一日下滑5元/吨。尽管中石化山东齐鲁石化提价30元/吨，但多地看涨情绪减弱，导致整体价格小幅回落。产量方面，东明石化复产及金陵石化提产推动日产量增至6.3万吨，环比上涨13.9%。</w:t>
      </w:r>
    </w:p>
    <w:p>
      <w:pPr>
        <w:ind w:left="630" w:leftChars="300"/>
        <w:rPr>
          <w:rFonts w:hint="eastAsia" w:ascii="楷体" w:hAnsi="楷体" w:eastAsia="楷体"/>
          <w:sz w:val="24"/>
          <w:szCs w:val="24"/>
        </w:rPr>
      </w:pPr>
      <w:r>
        <w:rPr>
          <w:rFonts w:hint="eastAsia" w:ascii="楷体" w:hAnsi="楷体" w:eastAsia="楷体"/>
          <w:sz w:val="24"/>
          <w:szCs w:val="24"/>
        </w:rPr>
        <w:t>区域市场呈现分化，北方供应稳定但需求平淡，以零星刚需采购为主。山东炼厂报价各异，东明石化竞拍量激增，报价连跌以促进出货。南方则因主力炼厂间歇复产，开工率提升，然而厂库库存仍有所增长。不过，社会库存因刚需支撑及前期低价订单而持续减少。</w:t>
      </w:r>
    </w:p>
    <w:p>
      <w:pPr>
        <w:ind w:left="630" w:leftChars="300"/>
        <w:rPr>
          <w:rFonts w:hint="eastAsia" w:ascii="楷体" w:hAnsi="楷体" w:eastAsia="楷体"/>
          <w:sz w:val="24"/>
          <w:szCs w:val="24"/>
        </w:rPr>
      </w:pPr>
      <w:r>
        <w:rPr>
          <w:rFonts w:hint="eastAsia" w:ascii="楷体" w:hAnsi="楷体" w:eastAsia="楷体"/>
          <w:sz w:val="24"/>
          <w:szCs w:val="24"/>
        </w:rPr>
        <w:t>周度数据显示，沥青总产量环比下降7%，同比更是大幅减少43.7%，显示出供应端的积极因素。同时，社会库和厂库均呈现去库趋势，尤以山东和华北地区为著。</w:t>
      </w:r>
    </w:p>
    <w:p>
      <w:pPr>
        <w:ind w:left="630" w:leftChars="300"/>
        <w:rPr>
          <w:rFonts w:hint="eastAsia" w:ascii="楷体" w:hAnsi="楷体" w:eastAsia="楷体"/>
          <w:sz w:val="24"/>
          <w:szCs w:val="24"/>
        </w:rPr>
      </w:pPr>
      <w:r>
        <w:rPr>
          <w:rFonts w:hint="eastAsia" w:ascii="楷体" w:hAnsi="楷体" w:eastAsia="楷体"/>
          <w:sz w:val="24"/>
          <w:szCs w:val="24"/>
        </w:rPr>
        <w:t>短期而言，沥青刚需保持平稳，北方资源竞争激烈，部分成交价格稳中有降；南方供应相对低位，部分地区获得支撑。市场或延续北弱南强格局。尽管原油大跌对沥青价格构成短期压力，但北方降雨减少和季节性需求改善将提振市场氛围。</w:t>
      </w:r>
    </w:p>
    <w:p>
      <w:pPr>
        <w:ind w:left="630" w:leftChars="300"/>
        <w:rPr>
          <w:rFonts w:hint="eastAsia" w:ascii="楷体" w:hAnsi="楷体" w:eastAsia="楷体"/>
          <w:sz w:val="24"/>
          <w:szCs w:val="24"/>
        </w:rPr>
      </w:pPr>
      <w:r>
        <w:rPr>
          <w:rFonts w:hint="eastAsia" w:ascii="楷体" w:hAnsi="楷体" w:eastAsia="楷体"/>
          <w:sz w:val="24"/>
          <w:szCs w:val="24"/>
        </w:rPr>
        <w:t>月初，供需收紧支撑下，部分地区沥青价格有望上涨。9月排产计划量继续下降，部分主力炼厂检修将进一步利好供应。随着产量减少和需求季节性回升，沥青基本面略有改善。尽管夜盘交易时段沥青期货价格补跌，但预计后市下方支撑较强。整体来看，沥青期货价格后市趋于稳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4" w:name="_Toc21837"/>
      <w:r>
        <w:rPr>
          <w:rFonts w:hint="eastAsia" w:ascii="Times New Roman" w:hAnsi="Times New Roman" w:eastAsia="楷体"/>
          <w:b/>
          <w:color w:val="000000" w:themeColor="text1"/>
          <w:sz w:val="24"/>
          <w:szCs w:val="24"/>
          <w14:textFill>
            <w14:solidFill>
              <w14:schemeClr w14:val="tx1"/>
            </w14:solidFill>
          </w14:textFill>
        </w:rPr>
        <w:t>PTA：后市仍存累库压力 维持震荡偏弱思路看待</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应方面四川能投100万吨PTA装置上周末重启，目前已经出产品。今日在聚酯产销回落，PTA基差变动不大，加工费重心抬升。9月宁波台化120万吨PTA装置计划月初检修，恒力大连一套220万吨装置计划9月检修，PTA开工率预计环比变动不大。需求方面聚酯整体库存依旧偏高，继中旬织造终端低价集中补货后，上周织造订单有所转弱，PTA出口较前期缺乏增量，聚酯产品出口呈现回落，月底聚酯瓶片检修装置的重启和新产能投产预期或带动需求回升，关注聚酯新装置的投产进度。PTA后市或依然存在累库压力。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5" w:name="_Toc7476"/>
      <w:r>
        <w:rPr>
          <w:rFonts w:hint="eastAsia" w:ascii="Times New Roman" w:hAnsi="Times New Roman" w:eastAsia="楷体"/>
          <w:b/>
          <w:color w:val="000000" w:themeColor="text1"/>
          <w:sz w:val="24"/>
          <w:szCs w:val="24"/>
          <w14:textFill>
            <w14:solidFill>
              <w14:schemeClr w14:val="tx1"/>
            </w14:solidFill>
          </w14:textFill>
        </w:rPr>
        <w:t>乙二醇：下游聚酯需求存改善预期 乙二醇或维持震荡走势</w:t>
      </w:r>
      <w:bookmarkEnd w:id="35"/>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需求方面，今日聚酯产销放量，继中旬织造终端低价集中补货后，上周织造订单有所转弱，聚酯产品出口呈现回落，旺季下聚酯开工仍有提升空间但可能相对有限。月底聚酯瓶片检修装置的重启和新产能投产预期或带动需求回升，关注聚酯新装置的投产进度。本周乙二醇计划到港量下降，供需格局维持紧平衡。价格预计震荡走势。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1759"/>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hint="eastAsia" w:ascii="楷体" w:hAnsi="楷体" w:eastAsia="楷体"/>
          <w:b/>
        </w:rPr>
      </w:pPr>
      <w:bookmarkStart w:id="37" w:name="_Toc30046"/>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期价略有反弹</w:t>
      </w:r>
      <w:bookmarkEnd w:id="37"/>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陷入震荡调整，主要源于两个方面，其一是玉米注册仓单压力，其二是期价贴水收窄之后，市场对新作上市压力的担忧依然存在，这使得现货缺乏上涨驱动。在这种情况下，需要等待以下三个方面，其一是华北小麦能否转强，其二是中下游是否需要在新作上市之前被动补库，其三是市场对新作产量前景的担忧能否强化，继而引发对新作供需格局的乐观预期，带动中下游主动补库存。综上所述，我们维持谨慎看多观点，建议谨慎投资者观望，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除近月外多有走扩，主要源于影响价差的三个方面因素均偏向利多，其一是行业供需趋于改善即行业库存继续下滑，其二是副产品端因外盘美豆带动国内蛋白粕继续弱势，其三是原料成本端华北-东北玉米价差可能走扩。再加上淀粉现货基差高企，而盘面生产利润为负，淀粉-玉米价差有望继续走扩。综上所述，我们维持谨慎看多观点，建议谨慎投资者观望或持有做扩淀粉-玉米价差，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22880"/>
      <w:r>
        <w:rPr>
          <w:rFonts w:hint="eastAsia" w:ascii="楷体" w:hAnsi="楷体" w:eastAsia="楷体"/>
          <w:b/>
          <w:bCs/>
          <w:color w:val="000000" w:themeColor="text1"/>
          <w14:textFill>
            <w14:solidFill>
              <w14:schemeClr w14:val="tx1"/>
            </w14:solidFill>
          </w14:textFill>
        </w:rPr>
        <w:t>畜禽养殖：鸡蛋期价小幅回落</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再度转为近强远弱，这主要源于市场预期现货阶段性回落临近尾声，与6月中下旬的现货表现类似，进而预期接下来有望再度出现上涨行情。在理解盘面的基础上看，远月关注供需改善幅度及其饲料成本预期，考虑到远月期价贴近养殖成本，目前证伪难度较大；近月更多关注节奏，特别是生猪出栏恢复的进度与生猪出栏体重的变化，这里面需要跟过去两年做个比较，2022年更多源于市场压栏和新冠疫情，2023年更多源于非瘟疫情和资金链因素。与过去两年特别是2022年相比，农业农村部公布的2季度末生猪存栏量更低，而7月规模以上屠宰企业生猪屠宰量更高，加上涌益咨询公布的7-8月日度屠宰量亦高于2022年，因此，可以合理推算三季度供应压力显著低于2022年，这可以通过新生仔猪数量加以印证，因今年新生仔猪数量底部出现在3-4月，对应生猪出栏量大致在9-10月。综上所述，观点转为谨慎看多，建议谨慎投资者观望，激进投资者可以考虑轻仓入场做多2411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分析市场可以看出，当前市场纠结之处在于，一方面市场对远期供需宽松预期使得市场担心后期现货下跌，而这已经体现在远月期价深度贴水上，另一方面当前仍处于季节性旺季，且基差处于历史高位，这对期价特别是近月带来一定的支撑。考虑到旺季合约已经进入交割月，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综上所述，观点转为中性，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8650"/>
      <w:r>
        <w:rPr>
          <w:rFonts w:hint="eastAsia" w:ascii="楷体" w:hAnsi="楷体" w:eastAsia="楷体"/>
          <w:b/>
          <w:bCs/>
          <w:color w:val="000000" w:themeColor="text1"/>
          <w14:textFill>
            <w14:solidFill>
              <w14:schemeClr w14:val="tx1"/>
            </w14:solidFill>
          </w14:textFill>
        </w:rPr>
        <w:t>白糖：震荡整理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0.72%和0.24%。印度农业和农民福利部公布了秋季作物面积情况。截至2024年9月2日甘蔗播种面积达到576.8万公顷，而2023年为571.1万公顷。国内隔日夜盘，白糖主力01合约下跌0.14%。尽管有印度解禁和巴西干旱减产带来的重大利好，但国际糖价20美分/磅关口压力沉重，冲高未果后掉头下试。经济压力仍存，商品再度普跌，工业品指数接连跳水，警惕衰退的可能。国内01主力合约在丰产预期和商品普跌氛围下失守5600关口，走势偏弱。不过，白糖上游农作物和重要战略物资的属性或给予其一定支撑。</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203"/>
      <w:r>
        <w:rPr>
          <w:rFonts w:hint="eastAsia" w:ascii="楷体" w:hAnsi="楷体" w:eastAsia="楷体"/>
          <w:b/>
          <w:bCs/>
          <w:color w:val="000000" w:themeColor="text1"/>
          <w14:textFill>
            <w14:solidFill>
              <w14:schemeClr w14:val="tx1"/>
            </w14:solidFill>
          </w14:textFill>
        </w:rPr>
        <w:t>棉花：预计郑棉震荡整理</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0.91%。据印度农业部数据显示，截至8月30日，印度新年度棉花播种面积达1117万公顷（16755万亩），较去年同期（1231万公顷，18465万亩）下降约9.2%，是自2016/17年度以来，同期最小植棉面积。目前播种进度已达农业部部门 1299.3万公顷（19490万亩）目标的 86.0%。国内夜盘，郑棉主力2501主力合约上涨0.81%。美农产品陆续出现筑底迹象，美豆和美玉米持续反弹，昨日涨幅显著。但国际经济下行压力不断显现，地缘政治风险增加，各项经济指标不甚乐观。大宗商品普遍暴跌，国内文华商品指数尤其是工业品指数连续两日跳空暴跌，下方空间被打开。郑棉上游为农作物，下游的纺织服装则和经济形势紧密相关。郑棉01主力合约1.4万关口压力显著，当前郑棉在宏观和丰产预期制约下反弹乏力，预计区间震荡或震荡偏弱。</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5548"/>
      <w:r>
        <w:rPr>
          <w:rFonts w:hint="eastAsia" w:ascii="楷体" w:hAnsi="楷体" w:eastAsia="楷体"/>
          <w:b/>
          <w:bCs/>
          <w:color w:val="000000" w:themeColor="text1"/>
          <w14:textFill>
            <w14:solidFill>
              <w14:schemeClr w14:val="tx1"/>
            </w14:solidFill>
          </w14:textFill>
        </w:rPr>
        <w:t>蛋白粕：豆系上涨，粕类表现较为强势</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美豆优良率下降且超预期(65%)，而出口检验量位于预估区间高位，美豆供需格局改善可能会使USDA即将发布的9月供需预测偏空因素减轻，助力美豆期价持续上涨。我国进口菜籽中，加菜籽占比91.97%，中国对加菜籽依赖度较高。中方反倾销消息公布，市场对菜籽供应有紧缩预期，短期价格有强有力支撑。同时近期国内豆粕市场受即将到来的双节和四季度供需形势好转预期影响，需求略有好转。但前期买船较多，短期内去库空间有限，因此总体短期预计期价震荡偏强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11358"/>
      <w:r>
        <w:rPr>
          <w:rFonts w:hint="eastAsia" w:ascii="楷体" w:hAnsi="楷体" w:eastAsia="楷体"/>
          <w:b/>
          <w:bCs/>
          <w:color w:val="000000" w:themeColor="text1"/>
          <w14:textFill>
            <w14:solidFill>
              <w14:schemeClr w14:val="tx1"/>
            </w14:solidFill>
          </w14:textFill>
        </w:rPr>
        <w:t>油脂类：期价回落调整，后续仍有做多机会</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涨0.13%，菜油跌0.01%，棕榈油跌0.71%。豆油跟随豆系上涨，菜油表现弱于菜粕，棕榈油维持下跌。菜油走势弱于菜粕，主要因为中国对加拿大菜油依赖度最低，因此反倾销措施对菜籽、菜粕影响较大，但对菜油影响较轻。同时菜粕盘面体量较油脂小，更容易受市场情绪影响、波动更大。国内随着中秋节和消费旺季临近，油脂库存逐渐减少，豆油库存连续四周下滑，边际需求好转。印度因库存高和精炼利润为负，减少棕油采购量，马棕油8月出口减少12%左右，期价下跌。但根据季节性规律，国内目前逐渐进入消费旺季，边际需求好转，价格有所支撑，存在上涨空间。目前下跌主要是冲高后的回落调整，依旧可以留意之后的做多机会。</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3" w:name="_Toc18136"/>
      <w:r>
        <w:rPr>
          <w:rFonts w:hint="eastAsia" w:ascii="Times New Roman" w:hAnsi="Times New Roman" w:eastAsia="楷体"/>
          <w:b/>
          <w:color w:val="823C0B"/>
          <w:sz w:val="30"/>
          <w:szCs w:val="30"/>
        </w:rPr>
        <w:t>[指数]</w:t>
      </w:r>
      <w:bookmarkEnd w:id="43"/>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4" w:name="_Toc21236"/>
      <w:r>
        <w:rPr>
          <w:rFonts w:hint="eastAsia" w:ascii="Times New Roman" w:hAnsi="Times New Roman" w:eastAsia="楷体"/>
          <w:b/>
          <w:color w:val="000000" w:themeColor="text1"/>
          <w:sz w:val="24"/>
          <w:szCs w:val="24"/>
          <w14:textFill>
            <w14:solidFill>
              <w14:schemeClr w14:val="tx1"/>
            </w14:solidFill>
          </w14:textFill>
        </w:rPr>
        <w:t>集运指数（欧线）：运价整体下行，集运指数维持跌势</w:t>
      </w:r>
      <w:bookmarkEnd w:id="44"/>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6.30%至2010.0。9月4日，反映天津-欧洲基本港运价的北方国际集装箱运价指数TCI进一步下跌1.66%至1807.25点，周环比跌11.17%。9月2日，SCFIS欧线指数为5110.07点，与上期相比跌6.86%。本周剩余现舱，2M的40GP报价约5540美元，OA约6000-6500美元；下周现舱，40GP报价约5100-6000美元不等。运价整体下行，期价或承压偏弱震荡，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5" w:name="_Toc98426751"/>
      <w:bookmarkStart w:id="46" w:name="_Toc71212556"/>
      <w:bookmarkStart w:id="47" w:name="_Toc12779"/>
      <w:bookmarkStart w:id="48" w:name="_Toc72481108"/>
      <w:bookmarkStart w:id="49" w:name="_Toc19667"/>
      <w:r>
        <w:rPr>
          <w:rFonts w:ascii="Times New Roman" w:hAnsi="Times New Roman" w:eastAsia="楷体"/>
          <w:b/>
          <w:color w:val="411D05"/>
          <w:sz w:val="30"/>
          <w:szCs w:val="30"/>
        </w:rPr>
        <w:t>免责声明</w:t>
      </w:r>
      <w:bookmarkEnd w:id="45"/>
      <w:bookmarkEnd w:id="46"/>
      <w:bookmarkEnd w:id="47"/>
      <w:bookmarkEnd w:id="48"/>
      <w:bookmarkEnd w:id="49"/>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2024年9月5日星期四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1F6F8D"/>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2024-09-05T02:59:29Z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