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2" w:name="_GoBack"/>
          <w:bookmarkEnd w:id="52"/>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_Toc27778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_Toc31823 </w:instrText>
          </w:r>
          <w:r>
            <w:rPr>
              <w:bCs/>
            </w:rPr>
            <w:fldChar w:fldCharType="separate"/>
          </w:r>
          <w:r>
            <w:rPr>
              <w:rFonts w:hint="eastAsia" w:ascii="Times New Roman" w:hAnsi="Times New Roman" w:eastAsia="楷体"/>
              <w:szCs w:val="24"/>
            </w:rPr>
            <w:t>股指：待市场情绪平稳，回归合理位置后，低位布局IF多单</w:t>
          </w:r>
          <w:r>
            <w:rPr>
              <w:bCs/>
            </w:rPr>
            <w:fldChar w:fldCharType="end"/>
          </w:r>
        </w:p>
        <w:p>
          <w:pPr>
            <w:pStyle w:val="59"/>
            <w:tabs>
              <w:tab w:val="right" w:leader="dot" w:pos="8306"/>
            </w:tabs>
          </w:pPr>
          <w:r>
            <w:rPr>
              <w:bCs/>
            </w:rPr>
            <w:fldChar w:fldCharType="begin"/>
          </w:r>
          <w:r>
            <w:rPr>
              <w:bCs/>
            </w:rPr>
            <w:instrText xml:space="preserve"> HYPERLINK \l _Toc684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_Toc57 </w:instrText>
          </w:r>
          <w:r>
            <w:rPr>
              <w:bCs/>
            </w:rPr>
            <w:fldChar w:fldCharType="separate"/>
          </w:r>
          <w:r>
            <w:rPr>
              <w:rFonts w:hint="eastAsia" w:ascii="Times New Roman" w:hAnsi="Times New Roman" w:eastAsia="楷体"/>
              <w:szCs w:val="24"/>
            </w:rPr>
            <w:t>贵金属：美国PPI环比持平，贵金属价格反弹</w:t>
          </w:r>
          <w:r>
            <w:rPr>
              <w:bCs/>
            </w:rPr>
            <w:fldChar w:fldCharType="end"/>
          </w:r>
        </w:p>
        <w:p>
          <w:pPr>
            <w:pStyle w:val="59"/>
            <w:tabs>
              <w:tab w:val="right" w:leader="dot" w:pos="8306"/>
            </w:tabs>
          </w:pPr>
          <w:r>
            <w:rPr>
              <w:bCs/>
            </w:rPr>
            <w:fldChar w:fldCharType="begin"/>
          </w:r>
          <w:r>
            <w:rPr>
              <w:bCs/>
            </w:rPr>
            <w:instrText xml:space="preserve"> HYPERLINK \l _Toc32725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_Toc22956 </w:instrText>
          </w:r>
          <w:r>
            <w:rPr>
              <w:bCs/>
            </w:rPr>
            <w:fldChar w:fldCharType="separate"/>
          </w:r>
          <w:r>
            <w:rPr>
              <w:rFonts w:hint="eastAsia" w:ascii="楷体" w:hAnsi="楷体" w:eastAsia="楷体"/>
              <w:szCs w:val="24"/>
            </w:rPr>
            <w:t>碳酸锂：库存维持去化，期价下跌</w:t>
          </w:r>
          <w:r>
            <w:rPr>
              <w:bCs/>
            </w:rPr>
            <w:fldChar w:fldCharType="end"/>
          </w:r>
        </w:p>
        <w:p>
          <w:pPr>
            <w:pStyle w:val="74"/>
            <w:tabs>
              <w:tab w:val="right" w:leader="dot" w:pos="8306"/>
            </w:tabs>
          </w:pPr>
          <w:r>
            <w:rPr>
              <w:bCs/>
            </w:rPr>
            <w:fldChar w:fldCharType="begin"/>
          </w:r>
          <w:r>
            <w:rPr>
              <w:bCs/>
            </w:rPr>
            <w:instrText xml:space="preserve"> HYPERLINK \l _Toc15829 </w:instrText>
          </w:r>
          <w:r>
            <w:rPr>
              <w:bCs/>
            </w:rPr>
            <w:fldChar w:fldCharType="separate"/>
          </w:r>
          <w:r>
            <w:rPr>
              <w:rFonts w:hint="eastAsia" w:ascii="楷体" w:hAnsi="楷体" w:eastAsia="楷体"/>
              <w:szCs w:val="24"/>
            </w:rPr>
            <w:t>铝：利多共振，铝价维持偏多判断</w:t>
          </w:r>
          <w:r>
            <w:rPr>
              <w:bCs/>
            </w:rPr>
            <w:fldChar w:fldCharType="end"/>
          </w:r>
        </w:p>
        <w:p>
          <w:pPr>
            <w:pStyle w:val="74"/>
            <w:tabs>
              <w:tab w:val="right" w:leader="dot" w:pos="8306"/>
            </w:tabs>
          </w:pPr>
          <w:r>
            <w:rPr>
              <w:bCs/>
            </w:rPr>
            <w:fldChar w:fldCharType="begin"/>
          </w:r>
          <w:r>
            <w:rPr>
              <w:bCs/>
            </w:rPr>
            <w:instrText xml:space="preserve"> HYPERLINK \l _Toc2367 </w:instrText>
          </w:r>
          <w:r>
            <w:rPr>
              <w:bCs/>
            </w:rPr>
            <w:fldChar w:fldCharType="separate"/>
          </w:r>
          <w:r>
            <w:rPr>
              <w:rFonts w:hint="eastAsia" w:ascii="楷体" w:hAnsi="楷体" w:eastAsia="楷体"/>
              <w:szCs w:val="24"/>
            </w:rPr>
            <w:t>锌：锌价高位盘整，谨慎追多</w:t>
          </w:r>
          <w:r>
            <w:rPr>
              <w:bCs/>
            </w:rPr>
            <w:fldChar w:fldCharType="end"/>
          </w:r>
        </w:p>
        <w:p>
          <w:pPr>
            <w:pStyle w:val="74"/>
            <w:tabs>
              <w:tab w:val="right" w:leader="dot" w:pos="8306"/>
            </w:tabs>
          </w:pPr>
          <w:r>
            <w:rPr>
              <w:bCs/>
            </w:rPr>
            <w:fldChar w:fldCharType="begin"/>
          </w:r>
          <w:r>
            <w:rPr>
              <w:bCs/>
            </w:rPr>
            <w:instrText xml:space="preserve"> HYPERLINK \l _Toc6274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：震荡偏强</w:t>
          </w:r>
          <w:r>
            <w:rPr>
              <w:bCs/>
            </w:rPr>
            <w:fldChar w:fldCharType="end"/>
          </w:r>
        </w:p>
        <w:p>
          <w:pPr>
            <w:pStyle w:val="74"/>
            <w:tabs>
              <w:tab w:val="right" w:leader="dot" w:pos="8306"/>
            </w:tabs>
          </w:pPr>
          <w:r>
            <w:rPr>
              <w:bCs/>
            </w:rPr>
            <w:fldChar w:fldCharType="begin"/>
          </w:r>
          <w:r>
            <w:rPr>
              <w:bCs/>
            </w:rPr>
            <w:instrText xml:space="preserve"> HYPERLINK \l _Toc19106 </w:instrText>
          </w:r>
          <w:r>
            <w:rPr>
              <w:bCs/>
            </w:rPr>
            <w:fldChar w:fldCharType="separate"/>
          </w:r>
          <w:r>
            <w:rPr>
              <w:rFonts w:hint="eastAsia" w:ascii="楷体" w:hAnsi="楷体" w:eastAsia="楷体"/>
              <w:szCs w:val="24"/>
            </w:rPr>
            <w:t>镍：上行空间有限，关注宏观节奏</w:t>
          </w:r>
          <w:r>
            <w:rPr>
              <w:bCs/>
            </w:rPr>
            <w:fldChar w:fldCharType="end"/>
          </w:r>
        </w:p>
        <w:p>
          <w:pPr>
            <w:pStyle w:val="74"/>
            <w:tabs>
              <w:tab w:val="right" w:leader="dot" w:pos="8306"/>
            </w:tabs>
          </w:pPr>
          <w:r>
            <w:rPr>
              <w:bCs/>
            </w:rPr>
            <w:fldChar w:fldCharType="begin"/>
          </w:r>
          <w:r>
            <w:rPr>
              <w:bCs/>
            </w:rPr>
            <w:instrText xml:space="preserve"> HYPERLINK \l _Toc14137 </w:instrText>
          </w:r>
          <w:r>
            <w:rPr>
              <w:bCs/>
            </w:rPr>
            <w:fldChar w:fldCharType="separate"/>
          </w:r>
          <w:r>
            <w:rPr>
              <w:rFonts w:hint="eastAsia" w:ascii="楷体" w:hAnsi="楷体" w:eastAsia="楷体"/>
              <w:szCs w:val="24"/>
            </w:rPr>
            <w:t>锡：供应方面， 9月冶炼厂因检修减产致产</w:t>
          </w:r>
          <w:r>
            <w:rPr>
              <w:bCs/>
            </w:rPr>
            <w:fldChar w:fldCharType="end"/>
          </w:r>
        </w:p>
        <w:p>
          <w:pPr>
            <w:pStyle w:val="74"/>
            <w:tabs>
              <w:tab w:val="right" w:leader="dot" w:pos="8306"/>
            </w:tabs>
          </w:pPr>
          <w:r>
            <w:rPr>
              <w:bCs/>
            </w:rPr>
            <w:fldChar w:fldCharType="begin"/>
          </w:r>
          <w:r>
            <w:rPr>
              <w:bCs/>
            </w:rPr>
            <w:instrText xml:space="preserve"> HYPERLINK \l _Toc16516 </w:instrText>
          </w:r>
          <w:r>
            <w:rPr>
              <w:bCs/>
            </w:rPr>
            <w:fldChar w:fldCharType="separate"/>
          </w:r>
          <w:r>
            <w:rPr>
              <w:rFonts w:hint="eastAsia" w:ascii="楷体" w:hAnsi="楷体" w:eastAsia="楷体"/>
              <w:szCs w:val="24"/>
            </w:rPr>
            <w:t>铅：供应增加预期下，铅价承压运行</w:t>
          </w:r>
          <w:r>
            <w:rPr>
              <w:bCs/>
            </w:rPr>
            <w:fldChar w:fldCharType="end"/>
          </w:r>
        </w:p>
        <w:p>
          <w:pPr>
            <w:pStyle w:val="74"/>
            <w:tabs>
              <w:tab w:val="right" w:leader="dot" w:pos="8306"/>
            </w:tabs>
          </w:pPr>
          <w:r>
            <w:rPr>
              <w:bCs/>
            </w:rPr>
            <w:fldChar w:fldCharType="begin"/>
          </w:r>
          <w:r>
            <w:rPr>
              <w:bCs/>
            </w:rPr>
            <w:instrText xml:space="preserve"> HYPERLINK \l _Toc28578 </w:instrText>
          </w:r>
          <w:r>
            <w:rPr>
              <w:bCs/>
            </w:rPr>
            <w:fldChar w:fldCharType="separate"/>
          </w:r>
          <w:r>
            <w:rPr>
              <w:rFonts w:hint="eastAsia" w:ascii="楷体" w:hAnsi="楷体" w:eastAsia="楷体"/>
              <w:szCs w:val="24"/>
            </w:rPr>
            <w:t>不锈钢：镍铁价格上涨，支撑不锈钢期价</w:t>
          </w:r>
          <w:r>
            <w:rPr>
              <w:bCs/>
            </w:rPr>
            <w:fldChar w:fldCharType="end"/>
          </w:r>
        </w:p>
        <w:p>
          <w:pPr>
            <w:pStyle w:val="74"/>
            <w:tabs>
              <w:tab w:val="right" w:leader="dot" w:pos="8306"/>
            </w:tabs>
          </w:pPr>
          <w:r>
            <w:rPr>
              <w:bCs/>
            </w:rPr>
            <w:fldChar w:fldCharType="begin"/>
          </w:r>
          <w:r>
            <w:rPr>
              <w:bCs/>
            </w:rPr>
            <w:instrText xml:space="preserve"> HYPERLINK \l _Toc6331 </w:instrText>
          </w:r>
          <w:r>
            <w:rPr>
              <w:bCs/>
            </w:rPr>
            <w:fldChar w:fldCharType="separate"/>
          </w:r>
          <w:r>
            <w:rPr>
              <w:rFonts w:hint="eastAsia" w:ascii="楷体" w:hAnsi="楷体" w:eastAsia="楷体"/>
              <w:szCs w:val="24"/>
            </w:rPr>
            <w:t>工业硅：财政态度偏积极，关注仓单注销节奏</w:t>
          </w:r>
          <w:r>
            <w:rPr>
              <w:bCs/>
            </w:rPr>
            <w:fldChar w:fldCharType="end"/>
          </w:r>
        </w:p>
        <w:p>
          <w:pPr>
            <w:pStyle w:val="74"/>
            <w:tabs>
              <w:tab w:val="right" w:leader="dot" w:pos="8306"/>
            </w:tabs>
          </w:pPr>
          <w:r>
            <w:rPr>
              <w:bCs/>
            </w:rPr>
            <w:fldChar w:fldCharType="begin"/>
          </w:r>
          <w:r>
            <w:rPr>
              <w:bCs/>
            </w:rPr>
            <w:instrText xml:space="preserve"> HYPERLINK \l _Toc29639 </w:instrText>
          </w:r>
          <w:r>
            <w:rPr>
              <w:bCs/>
            </w:rPr>
            <w:fldChar w:fldCharType="separate"/>
          </w:r>
          <w:r>
            <w:rPr>
              <w:rFonts w:hint="eastAsia" w:ascii="楷体" w:hAnsi="楷体" w:eastAsia="楷体"/>
              <w:szCs w:val="24"/>
            </w:rPr>
            <w:t>螺纹钢：财政态度偏积极，盘面或仍有支撑</w:t>
          </w:r>
          <w:r>
            <w:rPr>
              <w:bCs/>
            </w:rPr>
            <w:fldChar w:fldCharType="end"/>
          </w:r>
        </w:p>
        <w:p>
          <w:pPr>
            <w:pStyle w:val="59"/>
            <w:tabs>
              <w:tab w:val="right" w:leader="dot" w:pos="8306"/>
            </w:tabs>
          </w:pPr>
          <w:r>
            <w:rPr>
              <w:bCs/>
            </w:rPr>
            <w:fldChar w:fldCharType="begin"/>
          </w:r>
          <w:r>
            <w:rPr>
              <w:bCs/>
            </w:rPr>
            <w:instrText xml:space="preserve"> HYPERLINK \l _Toc12939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_Toc19894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全钢开工下滑成本支撑减弱 天胶震荡整理</w:t>
          </w:r>
          <w:r>
            <w:rPr>
              <w:bCs/>
            </w:rPr>
            <w:fldChar w:fldCharType="end"/>
          </w:r>
        </w:p>
        <w:p>
          <w:pPr>
            <w:pStyle w:val="74"/>
            <w:tabs>
              <w:tab w:val="right" w:leader="dot" w:pos="8306"/>
            </w:tabs>
          </w:pPr>
          <w:r>
            <w:rPr>
              <w:bCs/>
            </w:rPr>
            <w:fldChar w:fldCharType="begin"/>
          </w:r>
          <w:r>
            <w:rPr>
              <w:bCs/>
            </w:rPr>
            <w:instrText xml:space="preserve"> HYPERLINK \l _Toc24638 </w:instrText>
          </w:r>
          <w:r>
            <w:rPr>
              <w:bCs/>
            </w:rPr>
            <w:fldChar w:fldCharType="separate"/>
          </w:r>
          <w:r>
            <w:rPr>
              <w:rFonts w:hint="eastAsia" w:ascii="Times New Roman" w:hAnsi="Times New Roman" w:eastAsia="楷体"/>
              <w:szCs w:val="24"/>
            </w:rPr>
            <w:t>聚烯烃：需求提振有限，聚烯烃随成本波动为主</w:t>
          </w:r>
          <w:r>
            <w:rPr>
              <w:bCs/>
            </w:rPr>
            <w:fldChar w:fldCharType="end"/>
          </w:r>
        </w:p>
        <w:p>
          <w:pPr>
            <w:pStyle w:val="74"/>
            <w:tabs>
              <w:tab w:val="right" w:leader="dot" w:pos="8306"/>
            </w:tabs>
          </w:pPr>
          <w:r>
            <w:rPr>
              <w:bCs/>
            </w:rPr>
            <w:fldChar w:fldCharType="begin"/>
          </w:r>
          <w:r>
            <w:rPr>
              <w:bCs/>
            </w:rPr>
            <w:instrText xml:space="preserve"> HYPERLINK \l _Toc32060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_Toc26223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_Toc28803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_Toc11953 </w:instrText>
          </w:r>
          <w:r>
            <w:rPr>
              <w:bCs/>
            </w:rPr>
            <w:fldChar w:fldCharType="separate"/>
          </w:r>
          <w:r>
            <w:rPr>
              <w:rFonts w:hint="eastAsia" w:ascii="Times New Roman" w:hAnsi="Times New Roman" w:eastAsia="楷体"/>
              <w:szCs w:val="24"/>
            </w:rPr>
            <w:t>PTA：供需双增 跟随成本端波动</w:t>
          </w:r>
          <w:r>
            <w:rPr>
              <w:bCs/>
            </w:rPr>
            <w:fldChar w:fldCharType="end"/>
          </w:r>
        </w:p>
        <w:p>
          <w:pPr>
            <w:pStyle w:val="74"/>
            <w:tabs>
              <w:tab w:val="right" w:leader="dot" w:pos="8306"/>
            </w:tabs>
          </w:pPr>
          <w:r>
            <w:rPr>
              <w:bCs/>
            </w:rPr>
            <w:fldChar w:fldCharType="begin"/>
          </w:r>
          <w:r>
            <w:rPr>
              <w:bCs/>
            </w:rPr>
            <w:instrText xml:space="preserve"> HYPERLINK \l _Toc5783 </w:instrText>
          </w:r>
          <w:r>
            <w:rPr>
              <w:bCs/>
            </w:rPr>
            <w:fldChar w:fldCharType="separate"/>
          </w:r>
          <w:r>
            <w:rPr>
              <w:rFonts w:hint="eastAsia" w:ascii="Times New Roman" w:hAnsi="Times New Roman" w:eastAsia="楷体"/>
              <w:szCs w:val="24"/>
            </w:rPr>
            <w:t>乙二醇：供需格局尚可 修复低估值</w:t>
          </w:r>
          <w:r>
            <w:rPr>
              <w:bCs/>
            </w:rPr>
            <w:fldChar w:fldCharType="end"/>
          </w:r>
        </w:p>
        <w:p>
          <w:pPr>
            <w:pStyle w:val="59"/>
            <w:tabs>
              <w:tab w:val="right" w:leader="dot" w:pos="8306"/>
            </w:tabs>
          </w:pPr>
          <w:r>
            <w:rPr>
              <w:bCs/>
            </w:rPr>
            <w:fldChar w:fldCharType="begin"/>
          </w:r>
          <w:r>
            <w:rPr>
              <w:bCs/>
            </w:rPr>
            <w:instrText xml:space="preserve"> HYPERLINK \l _Toc4225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_Toc800 </w:instrText>
          </w:r>
          <w:r>
            <w:rPr>
              <w:bCs/>
            </w:rPr>
            <w:fldChar w:fldCharType="separate"/>
          </w:r>
          <w:r>
            <w:rPr>
              <w:rFonts w:hint="eastAsia" w:ascii="楷体" w:hAnsi="楷体" w:eastAsia="楷体"/>
              <w:bCs/>
            </w:rPr>
            <w:t>玉米与淀粉：</w:t>
          </w:r>
          <w:r>
            <w:rPr>
              <w:rFonts w:hint="eastAsia" w:ascii="楷体" w:hAnsi="楷体" w:eastAsia="楷体"/>
            </w:rPr>
            <w:t>等待新作压力释放</w:t>
          </w:r>
          <w:r>
            <w:rPr>
              <w:bCs/>
            </w:rPr>
            <w:fldChar w:fldCharType="end"/>
          </w:r>
        </w:p>
        <w:p>
          <w:pPr>
            <w:pStyle w:val="74"/>
            <w:tabs>
              <w:tab w:val="right" w:leader="dot" w:pos="8306"/>
            </w:tabs>
          </w:pPr>
          <w:r>
            <w:rPr>
              <w:bCs/>
            </w:rPr>
            <w:fldChar w:fldCharType="begin"/>
          </w:r>
          <w:r>
            <w:rPr>
              <w:bCs/>
            </w:rPr>
            <w:instrText xml:space="preserve"> HYPERLINK \l _Toc27293 </w:instrText>
          </w:r>
          <w:r>
            <w:rPr>
              <w:bCs/>
            </w:rPr>
            <w:fldChar w:fldCharType="separate"/>
          </w:r>
          <w:r>
            <w:rPr>
              <w:rFonts w:hint="eastAsia" w:ascii="楷体" w:hAnsi="楷体" w:eastAsia="楷体"/>
              <w:bCs/>
            </w:rPr>
            <w:t>畜禽养殖：期价近强远弱</w:t>
          </w:r>
          <w:r>
            <w:rPr>
              <w:bCs/>
            </w:rPr>
            <w:fldChar w:fldCharType="end"/>
          </w:r>
        </w:p>
        <w:p>
          <w:pPr>
            <w:pStyle w:val="74"/>
            <w:tabs>
              <w:tab w:val="right" w:leader="dot" w:pos="8306"/>
            </w:tabs>
          </w:pPr>
          <w:r>
            <w:rPr>
              <w:bCs/>
            </w:rPr>
            <w:fldChar w:fldCharType="begin"/>
          </w:r>
          <w:r>
            <w:rPr>
              <w:bCs/>
            </w:rPr>
            <w:instrText xml:space="preserve"> HYPERLINK \l _Toc5325 </w:instrText>
          </w:r>
          <w:r>
            <w:rPr>
              <w:bCs/>
            </w:rPr>
            <w:fldChar w:fldCharType="separate"/>
          </w:r>
          <w:r>
            <w:rPr>
              <w:rFonts w:hint="eastAsia" w:ascii="楷体" w:hAnsi="楷体" w:eastAsia="楷体"/>
              <w:bCs/>
            </w:rPr>
            <w:t>白糖：利多渐聚，糖价震荡偏强</w:t>
          </w:r>
          <w:r>
            <w:rPr>
              <w:bCs/>
            </w:rPr>
            <w:fldChar w:fldCharType="end"/>
          </w:r>
        </w:p>
        <w:p>
          <w:pPr>
            <w:pStyle w:val="74"/>
            <w:tabs>
              <w:tab w:val="right" w:leader="dot" w:pos="8306"/>
            </w:tabs>
          </w:pPr>
          <w:r>
            <w:rPr>
              <w:bCs/>
            </w:rPr>
            <w:fldChar w:fldCharType="begin"/>
          </w:r>
          <w:r>
            <w:rPr>
              <w:bCs/>
            </w:rPr>
            <w:instrText xml:space="preserve"> HYPERLINK \l _Toc22579 </w:instrText>
          </w:r>
          <w:r>
            <w:rPr>
              <w:bCs/>
            </w:rPr>
            <w:fldChar w:fldCharType="separate"/>
          </w:r>
          <w:r>
            <w:rPr>
              <w:rFonts w:hint="eastAsia" w:ascii="楷体" w:hAnsi="楷体" w:eastAsia="楷体"/>
              <w:bCs/>
            </w:rPr>
            <w:t>棉花：套保压制，预计郑棉区间震荡偏弱</w:t>
          </w:r>
          <w:r>
            <w:rPr>
              <w:bCs/>
            </w:rPr>
            <w:fldChar w:fldCharType="end"/>
          </w:r>
        </w:p>
        <w:p>
          <w:pPr>
            <w:pStyle w:val="74"/>
            <w:tabs>
              <w:tab w:val="right" w:leader="dot" w:pos="8306"/>
            </w:tabs>
          </w:pPr>
          <w:r>
            <w:rPr>
              <w:bCs/>
            </w:rPr>
            <w:fldChar w:fldCharType="begin"/>
          </w:r>
          <w:r>
            <w:rPr>
              <w:bCs/>
            </w:rPr>
            <w:instrText xml:space="preserve"> HYPERLINK \l _Toc23629 </w:instrText>
          </w:r>
          <w:r>
            <w:rPr>
              <w:bCs/>
            </w:rPr>
            <w:fldChar w:fldCharType="separate"/>
          </w:r>
          <w:r>
            <w:rPr>
              <w:rFonts w:hint="eastAsia" w:ascii="楷体" w:hAnsi="楷体" w:eastAsia="楷体"/>
              <w:bCs/>
            </w:rPr>
            <w:t>蛋白粕：USDA10月报告再度证实增产，粕类偏弱</w:t>
          </w:r>
          <w:r>
            <w:rPr>
              <w:bCs/>
            </w:rPr>
            <w:fldChar w:fldCharType="end"/>
          </w:r>
        </w:p>
        <w:p>
          <w:pPr>
            <w:pStyle w:val="74"/>
            <w:tabs>
              <w:tab w:val="right" w:leader="dot" w:pos="8306"/>
            </w:tabs>
          </w:pPr>
          <w:r>
            <w:rPr>
              <w:bCs/>
            </w:rPr>
            <w:fldChar w:fldCharType="begin"/>
          </w:r>
          <w:r>
            <w:rPr>
              <w:bCs/>
            </w:rPr>
            <w:instrText xml:space="preserve"> HYPERLINK \l _Toc26769 </w:instrText>
          </w:r>
          <w:r>
            <w:rPr>
              <w:bCs/>
            </w:rPr>
            <w:fldChar w:fldCharType="separate"/>
          </w:r>
          <w:r>
            <w:rPr>
              <w:rFonts w:hint="eastAsia" w:ascii="楷体" w:hAnsi="楷体" w:eastAsia="楷体"/>
              <w:bCs/>
            </w:rPr>
            <w:t>油脂类：国际原油及马棕价格提振，油脂依旧较强</w:t>
          </w:r>
          <w:r>
            <w:rPr>
              <w:bCs/>
            </w:rPr>
            <w:fldChar w:fldCharType="end"/>
          </w:r>
        </w:p>
        <w:p>
          <w:pPr>
            <w:pStyle w:val="59"/>
            <w:tabs>
              <w:tab w:val="right" w:leader="dot" w:pos="8306"/>
            </w:tabs>
          </w:pPr>
          <w:r>
            <w:rPr>
              <w:bCs/>
            </w:rPr>
            <w:fldChar w:fldCharType="begin"/>
          </w:r>
          <w:r>
            <w:rPr>
              <w:bCs/>
            </w:rPr>
            <w:instrText xml:space="preserve"> HYPERLINK \l _Toc12223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_Toc13621 </w:instrText>
          </w:r>
          <w:r>
            <w:rPr>
              <w:bCs/>
            </w:rPr>
            <w:fldChar w:fldCharType="separate"/>
          </w:r>
          <w:r>
            <w:rPr>
              <w:rFonts w:hint="eastAsia" w:ascii="Times New Roman" w:hAnsi="Times New Roman" w:eastAsia="楷体"/>
              <w:szCs w:val="24"/>
            </w:rPr>
            <w:t>集运指数（欧线）：船司提涨11月运价，期价大幅上涨</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27778"/>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31823"/>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待市场情绪平稳，回归合理位置后，低位布局IF多单</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本次财政发力点有效针对稳增长过程中的问题，一是加码化债，二是针对利率中枢下行对大行进行资本金补充，是后续货币政策发力前提，稳房价则是后续基本面企稳关键。本次“政策底”确立，对2025年“业绩底”存在预期支撑，预计四季度结构性机会增加，核心资产</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相对占优。但也需意识到，由于财政刺激的具体力度尚未确定，市场资金仍存在预期博弈，后续政策观察节点是10月中下旬的全国人大常委会和政治局会议。</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684"/>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57"/>
      <w:r>
        <w:rPr>
          <w:rFonts w:hint="eastAsia" w:ascii="Times New Roman" w:hAnsi="Times New Roman" w:eastAsia="楷体"/>
          <w:b/>
          <w:color w:val="000000" w:themeColor="text1"/>
          <w:sz w:val="24"/>
          <w:szCs w:val="24"/>
          <w14:textFill>
            <w14:solidFill>
              <w14:schemeClr w14:val="tx1"/>
            </w14:solidFill>
          </w14:textFill>
        </w:rPr>
        <w:t>贵金属：美国PPI环比持平，贵金属价格反弹</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上周五夜盘沪金涨0.87%至600.28元/克，上周累计上涨0.61%；沪银涨1.93%至7803元/千克，上周累计下跌0.17%。美国9月PPI同比增1.8%，环比持平；9月核心PPI同比增2.8%，环比增0.2%。或由于部分地区裁员以及飓风等影响，最新当周美国初请失业金人数上升至两年多以来新高的25.8，并且CPI通胀强于预期，贵金属价格尾盘反弹。截至10月8日当周，COMEX黄金期货管理基金净多持仓减少20403手至194059手，COMEX白银期货管理基金净多持仓减少2702手至34636手。截至10月11日，SPDR黄金ETF持仓877.98吨，周内流入1.72吨；SLV白银ETF持仓14620.63吨，周内流入112.06吨。截至2024年9月末，我国央行黄金储备仍维持在7280万盎司，已连续5个月未增持。后续市场围绕美国经济“软着陆”可能性进行交易，美国大选临近以及中东地区地缘政治冲突风险等仍将提振避险情绪，贵金属价格可能维持高位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32725"/>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2956"/>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碳酸锂：库存维持去化，期价下跌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五期价盘初横盘震荡、尾盘有所下行，11合约收跌4.10%至73700元/吨。近期盐湖大厂放货，按期货结算价贴水结算，消息面因素对盘面略微利空。碳酸锂周度产量增长，主要由于锂辉石提锂周度产量较大幅度反弹。碳酸锂周度开工率略微回升至约46%。最新当周碳酸锂周度库存维持回落，周环比下降3.24%至约12.06万吨；上游库存周环比小幅减少1.77%至约4.89万吨，贸易商等中游环节库存周环比增3.62%至约4.15万吨，下游库存周环比减少13.25%至约3.02万吨。期货仓单方面，10月11日减少606吨，总量44087吨，周环比增1.20%；交割方面，10月11日配对669手、完成交割3050吨，10月累计交割7431吨。下游磷铁排产维持高位，库存维持去化，下游采购暂谨慎观望，报价及散单采购意愿偏低。当前期价上方面临产业套保盘压力，下方前低附近整数关口支撑相对较强，期价或维持区间震荡。旺季期间需求增长，但全球资源端产销维持增量，中期供需或维持略微过剩格局。</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15829"/>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利多共振，铝价维持偏多判断</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美国经济数据表现强韧，CPI及就业数据仍超预期，年内美联储降息幅度预期缩减，目前在降息周期里海外宏观</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情绪风险较小，国内政策面利多持续释放，国庆节日期间地产消费明显提振。进口铝土矿短期内仍受几内亚雨季影响有扰动可能，国内矿山产出提增但后续即将进</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入下游冬储，预计矿端仍旧保持供不应求的状态，氧化铝开产产能占比超87%，高利润刺激下产线超负荷生产，其现货端报价坚挺，总库存水平持续下降，后续在冬季环保压力及供暖需求下，氧化铝供应持续偏紧，电解铝生产成本支撑不断强化，电解铝开产产能高位，云南地区枯水期对整体产能影响有限，下游需求来看，国内政策面利多释放刺激市场消费，国庆节日期间及假后地产消费明显提振，汽车、光伏消费仍有支撑。</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宏观情绪利多共振，基本面有强成本支撑，供应高位但需求有乐观改善预期，铝价依旧看涨，暂看21500-22000前高附近压力。</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367"/>
      <w:r>
        <w:rPr>
          <w:rFonts w:hint="eastAsia" w:ascii="楷体" w:hAnsi="楷体" w:eastAsia="楷体"/>
          <w:b/>
          <w:color w:val="000000" w:themeColor="text1"/>
          <w:sz w:val="24"/>
          <w:szCs w:val="24"/>
          <w14:textFill>
            <w14:solidFill>
              <w14:schemeClr w14:val="tx1"/>
            </w14:solidFill>
          </w14:textFill>
        </w:rPr>
        <w:t>锌：锌价高位盘整，谨慎追多</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内外宏观情绪偏多支撑盘面，从基本面上看，全球锌矿产量减少，海外去年减产产能未恢复，另有部分产能因天气或不可抗力因素减产，俄罗斯Oz、国内的火烧云有增量投放但投放情况对产量补充改善有限，国内锌矿产量有所提增但进口矿补充因成本倒挂受限，国内矿供应依旧保持紧张，矿端加工利润丰厚，矿TC加工费低位，冶炼端保持亏损，叠加原料供应限制，冶炼厂开工率同比下降明显，主要减量来自陕西、安徽、云南、内蒙、广西、辽宁等地。下游需求处于弱现实、强预期的状态，国庆假期地产、出行等消费改善明显，持续观望利多政策落地效果。宏观情绪明显修复，基本面供应端边际收紧，需求端弱现实、强预期，短期锌价前高压力依旧有效，预计价格高位盘整回调后再度向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6274"/>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：震荡偏强</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(2)库存：10月11日，SHFE仓单库存52893吨，日增299吨；SHEF周库存156485吨，较上周五增加14860吨；LME仓单库存297550吨，日减1800吨。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(3)精废价差：10月11日，Mysteel精废价差1497，收窄270。目前价差在合理价差1473之上。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10月12日财政部在国新办新闻发布会上宣布一揽子增量政策举措即将推出，本次发布会传达了政府在财政政策的积极态度，除已规划较高规模的财政支出，并强调中央财政还有较大举债空间和赤字提升空间，为未来的财政政策加力保留了空间，不过具体的扩张幅度仍待观察，对市场影响短期或中性偏多。基本面，进口铜精矿TC指数小幅上调至8.13美金，9月SMM国内精铜产量环比小幅下降，受国内冶炼厂减产影响未来国产铜供应量将进一步下降，库存或无明显累增压力，预计价格延续震荡偏多运行，回调空间或不大，参考77000-80000。</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9106"/>
      <w:r>
        <w:rPr>
          <w:rFonts w:hint="eastAsia" w:ascii="楷体" w:hAnsi="楷体" w:eastAsia="楷体"/>
          <w:b/>
          <w:color w:val="000000" w:themeColor="text1"/>
          <w:sz w:val="24"/>
          <w:szCs w:val="24"/>
          <w14:textFill>
            <w14:solidFill>
              <w14:schemeClr w14:val="tx1"/>
            </w14:solidFill>
          </w14:textFill>
        </w:rPr>
        <w:t>镍：上行空间有限，关注宏观节奏</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10月12日财政部新闻发布会表态偏积极，但未提及具体数字，或对市场情绪提振有限，继续关注财政力度。镍矿方面，印尼镍矿维持偏紧状况，其镍矿内贸价格维持坚挺，菲律宾镍矿供应则将渐入雨季。硫酸镍方面，中间品价格系数坚挺，而下游三元材料补库需求较淡，硫酸镍厂在亏损状态下挺价情绪增加。供需方面，国庆节后下游成交氛围偏淡，精炼镍延续过剩格局，海内外库存趋势性累库。综合而言，宏观方面10月12日基本符合市场预期，后续财政仍有期待空间，而镍基本面未有起色，海内外库存维持趋势性累库，对镍价施压，预计短期镍价上方空间有限，关注宏观变化及印尼镍矿供应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4137"/>
      <w:r>
        <w:rPr>
          <w:rFonts w:hint="eastAsia" w:ascii="楷体" w:hAnsi="楷体" w:eastAsia="楷体"/>
          <w:b/>
          <w:color w:val="000000" w:themeColor="text1"/>
          <w:sz w:val="24"/>
          <w:szCs w:val="24"/>
          <w14:textFill>
            <w14:solidFill>
              <w14:schemeClr w14:val="tx1"/>
            </w14:solidFill>
          </w14:textFill>
        </w:rPr>
        <w:t>锡：供应方面， 9月冶炼厂因检修减产致产</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量大幅下降，据Mysteel调研显示，2024年9月精锡产量为10000吨，环比减少31.3%，同比减少33.31%，10月或逐步恢复正常。当前缅甸锡矿复产时间尚不确定，若后续禁矿时间延长，或使得冶炼厂原料更加紧张而再度减产。需求端，国内各类政策持续发力，有利于后期消费环比改善，半导体及电子消费题材热度持续，提振锡价，预计价格保持偏强态势，关注锡锭库存变化。</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6516"/>
      <w:r>
        <w:rPr>
          <w:rFonts w:hint="eastAsia" w:ascii="楷体" w:hAnsi="楷体" w:eastAsia="楷体"/>
          <w:b/>
          <w:color w:val="000000" w:themeColor="text1"/>
          <w:sz w:val="24"/>
          <w:szCs w:val="24"/>
          <w14:textFill>
            <w14:solidFill>
              <w14:schemeClr w14:val="tx1"/>
            </w14:solidFill>
          </w14:textFill>
        </w:rPr>
        <w:t>铅：供应增加预期下，铅价承压运行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废电瓶方面，废电瓶回收商在铅价回落情况下畏跌抛货积极性较高，近日再生铅原料到货尚可。原生铅方面，青海西豫20万吨产能已投产，豫光金铅恢复检修产线，原生铅供应趋增。再生铅方面，再生铅企业逐步复产，不过需关注下周安徽环保检查对供应影响情况。需求方面，节后下游铅酸蓄电池厂刚需补库动作边际好转，但十月铅消费已渐入淡季，以旧换新等利好政策对铅需求提振作用尚需观察。库存方面，10月10日国内主要市场铅锭社会库存为7.29万吨，较10月8日增加0.83万吨，较9月30日增加2.17万吨。综合而言，废电瓶到货增加，原生铅供应趋增，再生铅逐步复产，虽节后下游需求边际好转但预计难以承接供应增量，预计短期铅价承压运行，关注环保检查影响及宏观变化。</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8578"/>
      <w:r>
        <w:rPr>
          <w:rFonts w:hint="eastAsia" w:ascii="楷体" w:hAnsi="楷体" w:eastAsia="楷体"/>
          <w:b/>
          <w:color w:val="000000" w:themeColor="text1"/>
          <w:sz w:val="24"/>
          <w:szCs w:val="24"/>
          <w14:textFill>
            <w14:solidFill>
              <w14:schemeClr w14:val="tx1"/>
            </w14:solidFill>
          </w14:textFill>
        </w:rPr>
        <w:t>不锈钢：镍铁价格上涨，支撑不锈钢期价</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镍矿维持偏紧状况，其镍矿内贸价格维持坚挺。镍铁方面，矿端使镍铁生产成本坚挺，不锈钢厂在利润修复后对镍铁压价情绪减弱，近日高镍铁成交价格提升至1010-1020元/镍（到厂含税），不锈钢成本支撑上移。供应方面，10月不锈钢厂排产略有下降，不过利润修复情况下供应弹性有可能释放。需求方面，近日下游刚需补库有所释放，节后社会库存并未累库，据Mysteel数据，截至10月10日，全国主流市场不锈钢89仓库口径社会总库存101.04万吨，周环比下降0.45%。综合而言，镍铁价格回升使不锈钢成本支撑上移，节后社会库存未呈现累库，支撑不锈钢期价，不过上行强驱动需要宏观刺激或供需继续改善，警惕印尼镍矿成本支撑走弱风险。</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6331"/>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财政态度偏积极，关注仓单注销节奏</w:t>
      </w:r>
      <w:bookmarkEnd w:id="27"/>
    </w:p>
    <w:p>
      <w:pPr>
        <w:ind w:left="630" w:leftChars="300"/>
        <w:rPr>
          <w:rFonts w:ascii="楷体" w:hAnsi="楷体" w:eastAsia="楷体"/>
          <w:sz w:val="24"/>
          <w:szCs w:val="24"/>
        </w:rPr>
      </w:pPr>
      <w:r>
        <w:rPr>
          <w:rFonts w:hint="eastAsia" w:ascii="楷体" w:hAnsi="楷体" w:eastAsia="楷体"/>
          <w:sz w:val="24"/>
          <w:szCs w:val="24"/>
        </w:rPr>
        <w:t>10月11日，Si2411主力合约呈震荡走势，收盘价9650元/吨，较上一收盘价涨跌幅+1.15%。从宏观面来看，上周末国新办举行新闻发布会，财政部宣布了一揽子有针对性增量政策举措，财政态度偏积极，略超市场预期，短期宏观情绪或仍有支撑。从基本面来看，西南供应有缩减预期，北方存在新增产能投放预期，需求暂无明显起色，基本面改善相对有限，叠加仓单总量依旧较高，由于每年11月底仓单面临集中注销，绝大部分将不符合再次注销标准，届时可能存在对现货供应造成冲击风险。整体来看，虽然宏观情绪边际有所降温，但短期情绪依旧有一定支撑，基本面宽松格局较难扭转，仓单压力仍存，盘面以震荡对待，后续重点关注仓单注销节奏，主力合约参考区间（9200，10200）。策略上，维持波段操作思路，可关注反套机会（空Si2411，多Si2412）。</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29639"/>
      <w:r>
        <w:rPr>
          <w:rFonts w:hint="eastAsia" w:ascii="楷体" w:hAnsi="楷体" w:eastAsia="楷体"/>
          <w:b/>
          <w:color w:val="000000" w:themeColor="text1"/>
          <w:sz w:val="24"/>
          <w:szCs w:val="24"/>
          <w14:textFill>
            <w14:solidFill>
              <w14:schemeClr w14:val="tx1"/>
            </w14:solidFill>
          </w14:textFill>
        </w:rPr>
        <w:t>螺纹钢：财政态度偏积极，盘面或仍有支撑</w:t>
      </w:r>
      <w:bookmarkEnd w:id="28"/>
    </w:p>
    <w:p>
      <w:pPr>
        <w:ind w:left="630" w:leftChars="300"/>
        <w:rPr>
          <w:rFonts w:ascii="楷体" w:hAnsi="楷体" w:eastAsia="楷体"/>
          <w:sz w:val="24"/>
          <w:szCs w:val="24"/>
        </w:rPr>
      </w:pPr>
      <w:r>
        <w:rPr>
          <w:rFonts w:hint="eastAsia" w:ascii="楷体" w:hAnsi="楷体" w:eastAsia="楷体"/>
          <w:sz w:val="24"/>
          <w:szCs w:val="24"/>
        </w:rPr>
        <w:t>从宏观面来看，上周末国新办举行新闻发布会，财政部宣布了一揽子有针对性增量政策举措，财政态度偏积极，略超市场预期，短期宏观情绪或仍有支撑。从基本面来看，现货市场价格稍有回落，但短期紧缺情况较难明显缓解，五大品种钢产量连续回升，但库存依旧去化，处于历史相对低位，表明表观需求依旧较为良好。综合而言，虽然宏观情绪边际有所降温，但会议释放的财政态度偏积极，以及基本面较为良好，短期盘面或仍有支撑。策略上，可尝试逢低做多机会。</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12939"/>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19894"/>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全钢开工下滑成本支撑减弱 天胶震荡整理</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宋卡地区的最新报价来看，目前各品类胶价整体出现回落。伴随后续天气好转，原料价格支撑或有所松动。库存方面，海外橡胶进口受前期运输暂缓影响，现货市场流动性偏紧，近两周青岛港口去库幅度较大。下游需求方面，假期期间全钢轮胎检修企业数量及检修天数同比去年均明显增加，半钢轮胎检修企业数量及总减损情况同比去年有所减少。全钢轮胎企业多受困于高成本、低需求和库存压力而选择停产放假，半钢轮胎企业则得益于出口市场的强劲支撑和合理的库存水平而维持常规放假。整体看，尽管四季度橡胶基本面因供应缩量的支撑下以偏多头思路看待，但仍需关注海外橡胶期价下跌对国内盘面的影响，以及东南亚主产区短期降水问题有出现缓和迹象，短期不排除原料价格回落、制约胶价表现。</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24638"/>
      <w:r>
        <w:rPr>
          <w:rFonts w:hint="eastAsia" w:ascii="Times New Roman" w:hAnsi="Times New Roman" w:eastAsia="楷体"/>
          <w:b/>
          <w:color w:val="000000" w:themeColor="text1"/>
          <w:sz w:val="24"/>
          <w:szCs w:val="24"/>
          <w14:textFill>
            <w14:solidFill>
              <w14:schemeClr w14:val="tx1"/>
            </w14:solidFill>
          </w14:textFill>
        </w:rPr>
        <w:t>聚烯烃：需求提振有限，聚烯烃随成本波动为主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成本端原油方面，以色列与伊朗局势问题仍影响显著，目前来看双方冲突暂未进一步恶化，潜在供应风险的担忧略有减弱，此外需求现状依然疲软，预计国际原油期货价格后续或仍偏弱整理。同时考虑到现实供需端的压力，主要是前期检修装置的逐步复产和部分新增产能项目的上马推进，上方反弹幅度受限。贸易商根据库存情况部分上调价格，但聚烯烃终端下游开工整体变化不大，节前补库力度不及预期。后市需持续关注宏观对聚烯烃的提振和地缘冲突的情况，短期偏震荡思路看待。</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32060"/>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26223"/>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28803"/>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11953"/>
      <w:r>
        <w:rPr>
          <w:rFonts w:hint="eastAsia" w:ascii="Times New Roman" w:hAnsi="Times New Roman" w:eastAsia="楷体"/>
          <w:b/>
          <w:color w:val="000000" w:themeColor="text1"/>
          <w:sz w:val="24"/>
          <w:szCs w:val="24"/>
          <w14:textFill>
            <w14:solidFill>
              <w14:schemeClr w14:val="tx1"/>
            </w14:solidFill>
          </w14:textFill>
        </w:rPr>
        <w:t>PTA：供需双增 跟随成本端波动</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原油方面，潜在的地缘风险短期仍是油市交易主线，油价处于震荡偏强格局。逸盛新材料360万吨国庆假期降负后恢复，中泰120万吨停车，三房巷120万吨重启，至10.10 PTA负荷上调至83.2%。长丝短纤局部负荷提升及瓶片新增产能，综合来看聚酯负荷继续回升。截至10.10，初步核算国内大陆地区聚酯负荷在92.2%附近。随着天气转冷下游开工小幅提升。旺季预期仍存下游开工提升，10月PTA累库格局放缓供需格局改善。短线聚酯产业链价格随着宏观降息改善、国内金融市场多重利好政策集中释放带动企稳反弹。9月下旬到10月这段时间服装电商开始集中下单，关注PTA阶段性供需去库行情。综合来看，在宏观情绪及成本端推动下，期价短期震荡偏强。</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5783"/>
      <w:r>
        <w:rPr>
          <w:rFonts w:hint="eastAsia" w:ascii="Times New Roman" w:hAnsi="Times New Roman" w:eastAsia="楷体"/>
          <w:b/>
          <w:color w:val="000000" w:themeColor="text1"/>
          <w:sz w:val="24"/>
          <w:szCs w:val="24"/>
          <w14:textFill>
            <w14:solidFill>
              <w14:schemeClr w14:val="tx1"/>
            </w14:solidFill>
          </w14:textFill>
        </w:rPr>
        <w:t>乙二醇：供需格局尚可 修复低估值</w:t>
      </w:r>
      <w:bookmarkEnd w:id="37"/>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供需情况，截至10.8 华东主港地区MEG港口库存约54.8万吨附近，环比上期（9.30）下降3万吨。乙二醇近期到港减少，主港显性库存去化明显，绝对库存处于历年低位水平。截至10月10日，中国大陆地区乙二醇整体开工负荷在67.84%（-0.84%），其中草酸催化加氢法（合成气）制乙二醇开工负荷在61.79%（-3.04%）。下游聚酯开工情况来看，聚酯端负荷整体保持良好，截至10.10，初步核算国内大陆地区聚酯负荷在92.2%附近，尤其是长丝负荷持续较高。聚酯端库存来看，长丝促销效果显著，整体库存节前维持去化。终端开工情况来看，截止10.10江浙下游加弹、织造、印染负荷分别在93%、83%、86%，整体开工小幅提升，织造端坯布整体新订单和出货量较节前多有提振。综合来看，乙二醇9-10的旺季预期下自身供需尚可。根据供需平衡表测算10月紧平衡叠加低库存，受国内政策利好及成本端强势提振，乙二醇低估值有望修复，维持低多思路。</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4225"/>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800"/>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等待新作压力释放</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周末稳中调整为主，华北产区多有上涨，东北产区稳中偏弱，北方港口小幅上涨；玉米期价周五夜盘震荡偏强，各合约小幅收涨。对于玉米而言，目前市场利多逐步显现，包括华北小麦上涨和东北储备收购，这可能带动部分中下游贸易与需求企业入市做库存，但考虑到新作压力仍有待释放，且市场预期仍未转向新作供需缺口预期，市场或仍处于化解新作上市压力的被动去库存阶段，尚未进入主动补库存阶段，在这个微妙的阶段，建议重点关注现货走势，因其对应新作压力的释放。在这种情况下，我们暂维持中性观点，建议投资者暂以观望为宜。</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影响淀粉-玉米价差的三个方面因素发生着变化，副产品依然利多，原料端则转向偏多，因国庆长假前后华北玉米反弹，而东北玉米持续弱势，华北-东北玉米价差有望走扩；行业供需转向偏空，因行业库存开始回升，而下游开机率出现下降。考虑到现货基差及其盘面加工利润，我们倾向于淀粉-玉米价差收窄空间受限。在这种情况下，我们暂维持中性观点，建议单边投资者暂以观望为宜，套利投资者可以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7293"/>
      <w:r>
        <w:rPr>
          <w:rFonts w:hint="eastAsia" w:ascii="楷体" w:hAnsi="楷体" w:eastAsia="楷体"/>
          <w:b/>
          <w:bCs/>
          <w:color w:val="000000" w:themeColor="text1"/>
          <w14:textFill>
            <w14:solidFill>
              <w14:schemeClr w14:val="tx1"/>
            </w14:solidFill>
          </w14:textFill>
        </w:rPr>
        <w:t>畜禽养殖：期价近强远弱</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周末现货先抑后扬，期价周五多有回落，春节前后合约有较大幅度下跌。对于生猪而言，从期价远期贴水结构可以看出，市场对生猪市场远期供需改善预期较为一致，这可以从若干方面得到印证，包括能繁母猪存栏见底回升，猪料产量环比增加，仔猪价格见顶回落等。市场分歧或更多集中在11月合约上，这主要源于两个方面，即二育规模和消费需求，8月以来生猪屠宰量增加，肥标价差回落，使得市场担心生猪供应低点对应现货价格高点已经出现。但在我们看来，从供应角度看春节前猪价下跌空间或有限，与过去两年特别是2022年相比，农业农村部公布的2季度末生猪存栏量更低，而7月规模以上屠宰企业生猪屠宰量更高，加上涌益咨询公布的7月以来日度屠宰量亦高于2022年，因此，可以合理推算四季度供应压力显著低于2022年。而8月以来特别是9月生猪出栏增加而体重下滑，带动供应提前释放，这反而有利于年前特别是四季度猪价。而需求则存在较大的不确定性，受宏观经济影响，市场反映今年需求不及往年同期，这会抑制猪价上方空间。随着国家政策的调整，加上气温的下降，生猪需求或有所改善。在这种情况下，我们持谨慎看多观点，建议谨慎投资者观望，激进投资者可以考虑持有前期多单。</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价格周末表现抗跌，局部地区出现上涨，期价周五震荡偏弱，多数合约小幅收跌。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5325"/>
      <w:r>
        <w:rPr>
          <w:rFonts w:hint="eastAsia" w:ascii="楷体" w:hAnsi="楷体" w:eastAsia="楷体"/>
          <w:b/>
          <w:bCs/>
          <w:color w:val="000000" w:themeColor="text1"/>
          <w14:textFill>
            <w14:solidFill>
              <w14:schemeClr w14:val="tx1"/>
            </w14:solidFill>
          </w14:textFill>
        </w:rPr>
        <w:t>白糖：利多渐聚，糖价震荡偏强</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周外盘，ICE原糖11号主力合约微涨0.50%，伦敦白砂糖主力合约微涨0.30%。巴西甘蔗行业协会(Unica)数据显示，9月下半月巴西中南部地区压榨甘蔗3882.8万吨，同比下降13.62%;产糖282.9万吨，同比下降16.21%;乙醇产量同比增加0.26%，至22.35亿升。糖厂使用47.79%的甘蔗比例产糖，上榨季同期为51.1%。国内，台风带来的甘蔗折断、倒伏，浸泡，预计将影响本年度白糖产量30-50万吨。因国际糖价上涨，进口成本显著增加。叠加旧作库存紧张，预计白糖5850—6100区间震荡偏强。</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22579"/>
      <w:r>
        <w:rPr>
          <w:rFonts w:hint="eastAsia" w:ascii="楷体" w:hAnsi="楷体" w:eastAsia="楷体"/>
          <w:b/>
          <w:bCs/>
          <w:color w:val="000000" w:themeColor="text1"/>
          <w14:textFill>
            <w14:solidFill>
              <w14:schemeClr w14:val="tx1"/>
            </w14:solidFill>
          </w14:textFill>
        </w:rPr>
        <w:t>棉花：套保压制，预计郑棉区间震荡偏弱</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周外盘，ICE美棉主力下跌0.73%。据美国农业部最新供需平衡报告预测，2024/25年度全球棉花总产预期2539.5万吨，环比调增4.7万吨，增幅0.2%；全球消费量预期2519.9万吨，环比调减0.2万吨；出口量924.7万吨，环比调减11.3万吨，减幅1.2%；全球期末库存1661.8万吨，环比减少3.6万吨，减幅0.2%。报告偏空。国内新棉收购有序进行，轧花厂收购极为谨慎小心，风险偏好低，套保意愿较强。政策对实体消费的提振效果尚有待观察，近期金融市场回吐较多涨幅，籽棉收购价尾随稳中偏弱。套保资金压制下，短期内转入震荡行情或回落。</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23629"/>
      <w:r>
        <w:rPr>
          <w:rFonts w:hint="eastAsia" w:ascii="楷体" w:hAnsi="楷体" w:eastAsia="楷体"/>
          <w:b/>
          <w:bCs/>
          <w:color w:val="000000" w:themeColor="text1"/>
          <w14:textFill>
            <w14:solidFill>
              <w14:schemeClr w14:val="tx1"/>
            </w14:solidFill>
          </w14:textFill>
        </w:rPr>
        <w:t>蛋白粕：USDA10月报告再度证实增产，粕类偏弱</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USDA10月供需报告下调美国大豆产量预测，但依然创下历史最高收成，也证实了目前美国产区的干燥天气并未对美豆单产造成明显影响，美豆创纪录的产量前景进一步得到巩固，期价也不涨反跌，美豆主力合约继续向1000美分关口接近。最新夜盘，国内豆二上涨1.07%，豆粕上涨0.40%；菜籽下跌1.93%，菜粕上涨0.85%，未跟随外盘变动。但粕类基本面依旧偏弱。节后油厂开机率大幅回调，高于去年同期；而补库需求差，进口成本下降不缺货，下游继续采买积极性低，多数延续随用随买政策。两粕现货依然呈现疲软态势，期价偏弱运行。</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26769"/>
      <w:r>
        <w:rPr>
          <w:rFonts w:hint="eastAsia" w:ascii="楷体" w:hAnsi="楷体" w:eastAsia="楷体"/>
          <w:b/>
          <w:bCs/>
          <w:color w:val="000000" w:themeColor="text1"/>
          <w14:textFill>
            <w14:solidFill>
              <w14:schemeClr w14:val="tx1"/>
            </w14:solidFill>
          </w14:textFill>
        </w:rPr>
        <w:t>油脂类：国际原油及马棕价格提振，油脂依旧较强</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最新夜盘豆油上涨0.92%，菜油上涨1.16%，棕榈油上涨1.81%。船货检验机构SGS发布的数据显示，马来西亚10月1-10日棕榈油产品出口量为440,217吨，较上月同期的274,853吨增加60.2%。据USDA10月油籽报告显示，2024/25年度全球棕榈油期末库存预估为1,611.3万吨，较上月预估下调146.1万吨。棕油表现较强。同时，9月份利比亚石油停产的政治僵局和OPEC+协议中最大的过剩生产国伊拉克的供应减少，是原油上涨，带动相关油脂上行，短期内油脂或延续上涨的趋势。国内方面，国家宏观经济向好，提振市场消费信心。进入10月份，国内油脂逐渐步入季节性消费旺季，需求向好，可逐步缓解大豆、豆油供给压力。同时11月份后大豆买船进度缓慢，也间接支撑了豆油行情。</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5" w:name="_Toc12223"/>
      <w:r>
        <w:rPr>
          <w:rFonts w:hint="eastAsia" w:ascii="Times New Roman" w:hAnsi="Times New Roman" w:eastAsia="楷体"/>
          <w:b/>
          <w:color w:val="823C0B"/>
          <w:sz w:val="30"/>
          <w:szCs w:val="30"/>
        </w:rPr>
        <w:t>[指数]</w:t>
      </w:r>
      <w:bookmarkEnd w:id="4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6" w:name="_Toc13621"/>
      <w:r>
        <w:rPr>
          <w:rFonts w:hint="eastAsia" w:ascii="Times New Roman" w:hAnsi="Times New Roman" w:eastAsia="楷体"/>
          <w:b/>
          <w:color w:val="000000" w:themeColor="text1"/>
          <w:sz w:val="24"/>
          <w:szCs w:val="24"/>
          <w14:textFill>
            <w14:solidFill>
              <w14:schemeClr w14:val="tx1"/>
            </w14:solidFill>
          </w14:textFill>
        </w:rPr>
        <w:t>集运指数（欧线）：船司提涨11月运价，期价大幅上涨</w:t>
      </w:r>
      <w:bookmarkEnd w:id="4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上周部分船司宣布上调11月运价，受涨价预期及相关消息面因素影响，12合约涨19%至2494.3。即期运价方面，10月11日，上海港出口至欧洲基本港市场运价（海运及海运附加费）为2040美元/TEU，较上期下跌9.3%。10月11日，上海航运交易所发布的上海出口集装箱综合运价指数为2062.57点，较上期下跌3.4%。10月7日，SCFIS欧线指数为2662.75点，相较上期跌15.86%。达飞11月40GP运价报约4060美元，马士基11月40GP上调至约4500美元。据船视宝数据，2024年9月集装箱活跃运力总计5560艘，共27820093TEU，艘数环比增加1.15%，TEU环比增加0.97%；停航运力总计448艘，共1699728TEU，艘数环比减少2.82%，TEU环比减少7.72%。船司宣涨推动近期期价上行，关注后续涨价落地情况，中东地缘政治冲突加剧等情绪面因素扰动持续，留意短期波动加剧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7" w:name="_Toc98426751"/>
      <w:bookmarkStart w:id="48" w:name="_Toc71212556"/>
      <w:bookmarkStart w:id="49" w:name="_Toc12779"/>
      <w:bookmarkStart w:id="50" w:name="_Toc72481108"/>
      <w:bookmarkStart w:id="51" w:name="_Toc19667"/>
      <w:r>
        <w:rPr>
          <w:rFonts w:ascii="Times New Roman" w:hAnsi="Times New Roman" w:eastAsia="楷体"/>
          <w:b/>
          <w:color w:val="411D05"/>
          <w:sz w:val="30"/>
          <w:szCs w:val="30"/>
        </w:rPr>
        <w:t>免责声明</w:t>
      </w:r>
      <w:bookmarkEnd w:id="47"/>
      <w:bookmarkEnd w:id="48"/>
      <w:bookmarkEnd w:id="49"/>
      <w:bookmarkEnd w:id="50"/>
      <w:bookmarkEnd w:id="5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2024年10月14日星期一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E44318"/>
    <w:rsid w:val="40F15753"/>
    <w:rsid w:val="41F950F8"/>
    <w:rsid w:val="428A4A5E"/>
    <w:rsid w:val="42EB3BA1"/>
    <w:rsid w:val="42F51780"/>
    <w:rsid w:val="43F11831"/>
    <w:rsid w:val="43F63E0D"/>
    <w:rsid w:val="44092E2E"/>
    <w:rsid w:val="441077D2"/>
    <w:rsid w:val="44396064"/>
    <w:rsid w:val="458C38B3"/>
    <w:rsid w:val="459609D9"/>
    <w:rsid w:val="45A37566"/>
    <w:rsid w:val="45B634E5"/>
    <w:rsid w:val="45CF0A85"/>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38706F0"/>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201218"/>
    <w:rsid w:val="64C32497"/>
    <w:rsid w:val="669D0EEA"/>
    <w:rsid w:val="66B64FC1"/>
    <w:rsid w:val="66C861F9"/>
    <w:rsid w:val="66D04BBC"/>
    <w:rsid w:val="67655BF9"/>
    <w:rsid w:val="678C3343"/>
    <w:rsid w:val="67C6389B"/>
    <w:rsid w:val="685D4EEE"/>
    <w:rsid w:val="68AE1587"/>
    <w:rsid w:val="68CC4906"/>
    <w:rsid w:val="68D53E8D"/>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2024-10-14T01:46:31Z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