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_Toc13649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_Toc4285 </w:instrText>
          </w:r>
          <w:r>
            <w:rPr>
              <w:bCs/>
            </w:rPr>
            <w:fldChar w:fldCharType="separate"/>
          </w:r>
          <w:r>
            <w:rPr>
              <w:rFonts w:hint="eastAsia" w:ascii="Times New Roman" w:hAnsi="Times New Roman" w:eastAsia="楷体"/>
              <w:szCs w:val="24"/>
            </w:rPr>
            <w:t>股指：观望为主，待市场情绪回归平稳</w:t>
          </w:r>
          <w:r>
            <w:rPr>
              <w:bCs/>
            </w:rPr>
            <w:fldChar w:fldCharType="end"/>
          </w:r>
        </w:p>
        <w:p>
          <w:pPr>
            <w:pStyle w:val="59"/>
            <w:tabs>
              <w:tab w:val="right" w:leader="dot" w:pos="8306"/>
            </w:tabs>
          </w:pPr>
          <w:r>
            <w:rPr>
              <w:bCs/>
            </w:rPr>
            <w:fldChar w:fldCharType="begin"/>
          </w:r>
          <w:r>
            <w:rPr>
              <w:bCs/>
            </w:rPr>
            <w:instrText xml:space="preserve"> HYPERLINK \l _Toc17441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_Toc7594 </w:instrText>
          </w:r>
          <w:r>
            <w:rPr>
              <w:bCs/>
            </w:rPr>
            <w:fldChar w:fldCharType="separate"/>
          </w:r>
          <w:r>
            <w:rPr>
              <w:rFonts w:hint="eastAsia" w:ascii="Times New Roman" w:hAnsi="Times New Roman" w:eastAsia="楷体"/>
              <w:szCs w:val="24"/>
            </w:rPr>
            <w:t>贵金属：美国零售销售环比略高于预期，沪金价格上涨</w:t>
          </w:r>
          <w:r>
            <w:rPr>
              <w:bCs/>
            </w:rPr>
            <w:fldChar w:fldCharType="end"/>
          </w:r>
        </w:p>
        <w:p>
          <w:pPr>
            <w:pStyle w:val="59"/>
            <w:tabs>
              <w:tab w:val="right" w:leader="dot" w:pos="8306"/>
            </w:tabs>
          </w:pPr>
          <w:r>
            <w:rPr>
              <w:bCs/>
            </w:rPr>
            <w:fldChar w:fldCharType="begin"/>
          </w:r>
          <w:r>
            <w:rPr>
              <w:bCs/>
            </w:rPr>
            <w:instrText xml:space="preserve"> HYPERLINK \l _Toc10211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_Toc12009 </w:instrText>
          </w:r>
          <w:r>
            <w:rPr>
              <w:bCs/>
            </w:rPr>
            <w:fldChar w:fldCharType="separate"/>
          </w:r>
          <w:r>
            <w:rPr>
              <w:rFonts w:hint="eastAsia" w:ascii="楷体" w:hAnsi="楷体" w:eastAsia="楷体"/>
              <w:szCs w:val="24"/>
            </w:rPr>
            <w:t>碳酸锂：空头氛围浓厚，期价维持跌势</w:t>
          </w:r>
          <w:r>
            <w:rPr>
              <w:bCs/>
            </w:rPr>
            <w:fldChar w:fldCharType="end"/>
          </w:r>
        </w:p>
        <w:p>
          <w:pPr>
            <w:pStyle w:val="74"/>
            <w:tabs>
              <w:tab w:val="right" w:leader="dot" w:pos="8306"/>
            </w:tabs>
          </w:pPr>
          <w:r>
            <w:rPr>
              <w:bCs/>
            </w:rPr>
            <w:fldChar w:fldCharType="begin"/>
          </w:r>
          <w:r>
            <w:rPr>
              <w:bCs/>
            </w:rPr>
            <w:instrText xml:space="preserve"> HYPERLINK \l _Toc10802 </w:instrText>
          </w:r>
          <w:r>
            <w:rPr>
              <w:bCs/>
            </w:rPr>
            <w:fldChar w:fldCharType="separate"/>
          </w:r>
          <w:r>
            <w:rPr>
              <w:rFonts w:hint="eastAsia" w:ascii="楷体" w:hAnsi="楷体" w:eastAsia="楷体"/>
              <w:szCs w:val="24"/>
            </w:rPr>
            <w:t>铝：短期回调盘整</w:t>
          </w:r>
          <w:r>
            <w:rPr>
              <w:bCs/>
            </w:rPr>
            <w:fldChar w:fldCharType="end"/>
          </w:r>
        </w:p>
        <w:p>
          <w:pPr>
            <w:pStyle w:val="74"/>
            <w:tabs>
              <w:tab w:val="right" w:leader="dot" w:pos="8306"/>
            </w:tabs>
          </w:pPr>
          <w:r>
            <w:rPr>
              <w:bCs/>
            </w:rPr>
            <w:fldChar w:fldCharType="begin"/>
          </w:r>
          <w:r>
            <w:rPr>
              <w:bCs/>
            </w:rPr>
            <w:instrText xml:space="preserve"> HYPERLINK \l _Toc17142 </w:instrText>
          </w:r>
          <w:r>
            <w:rPr>
              <w:bCs/>
            </w:rPr>
            <w:fldChar w:fldCharType="separate"/>
          </w:r>
          <w:r>
            <w:rPr>
              <w:rFonts w:hint="eastAsia" w:ascii="楷体" w:hAnsi="楷体" w:eastAsia="楷体"/>
              <w:szCs w:val="24"/>
            </w:rPr>
            <w:t>锌：锌价高位回调</w:t>
          </w:r>
          <w:r>
            <w:rPr>
              <w:bCs/>
            </w:rPr>
            <w:fldChar w:fldCharType="end"/>
          </w:r>
        </w:p>
        <w:p>
          <w:pPr>
            <w:pStyle w:val="74"/>
            <w:tabs>
              <w:tab w:val="right" w:leader="dot" w:pos="8306"/>
            </w:tabs>
          </w:pPr>
          <w:r>
            <w:rPr>
              <w:bCs/>
            </w:rPr>
            <w:fldChar w:fldCharType="begin"/>
          </w:r>
          <w:r>
            <w:rPr>
              <w:bCs/>
            </w:rPr>
            <w:instrText xml:space="preserve"> HYPERLINK \l _Toc26046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：美元指数强势继续压制价格</w:t>
          </w:r>
          <w:r>
            <w:rPr>
              <w:bCs/>
            </w:rPr>
            <w:fldChar w:fldCharType="end"/>
          </w:r>
        </w:p>
        <w:p>
          <w:pPr>
            <w:pStyle w:val="74"/>
            <w:tabs>
              <w:tab w:val="right" w:leader="dot" w:pos="8306"/>
            </w:tabs>
          </w:pPr>
          <w:r>
            <w:rPr>
              <w:bCs/>
            </w:rPr>
            <w:fldChar w:fldCharType="begin"/>
          </w:r>
          <w:r>
            <w:rPr>
              <w:bCs/>
            </w:rPr>
            <w:instrText xml:space="preserve"> HYPERLINK \l _Toc20313 </w:instrText>
          </w:r>
          <w:r>
            <w:rPr>
              <w:bCs/>
            </w:rPr>
            <w:fldChar w:fldCharType="separate"/>
          </w:r>
          <w:r>
            <w:rPr>
              <w:rFonts w:hint="eastAsia" w:ascii="楷体" w:hAnsi="楷体" w:eastAsia="楷体"/>
              <w:szCs w:val="24"/>
            </w:rPr>
            <w:t>镍：印尼镍矿配额或加快，预计镍价偏弱运行</w:t>
          </w:r>
          <w:r>
            <w:rPr>
              <w:bCs/>
            </w:rPr>
            <w:fldChar w:fldCharType="end"/>
          </w:r>
        </w:p>
        <w:p>
          <w:pPr>
            <w:pStyle w:val="74"/>
            <w:tabs>
              <w:tab w:val="right" w:leader="dot" w:pos="8306"/>
            </w:tabs>
          </w:pPr>
          <w:r>
            <w:rPr>
              <w:bCs/>
            </w:rPr>
            <w:fldChar w:fldCharType="begin"/>
          </w:r>
          <w:r>
            <w:rPr>
              <w:bCs/>
            </w:rPr>
            <w:instrText xml:space="preserve"> HYPERLINK \l _Toc4385 </w:instrText>
          </w:r>
          <w:r>
            <w:rPr>
              <w:bCs/>
            </w:rPr>
            <w:fldChar w:fldCharType="separate"/>
          </w:r>
          <w:r>
            <w:rPr>
              <w:rFonts w:hint="eastAsia" w:ascii="楷体" w:hAnsi="楷体" w:eastAsia="楷体"/>
              <w:szCs w:val="24"/>
            </w:rPr>
            <w:t>锡：短期震荡偏弱，底部有支撑</w:t>
          </w:r>
          <w:r>
            <w:rPr>
              <w:bCs/>
            </w:rPr>
            <w:fldChar w:fldCharType="end"/>
          </w:r>
        </w:p>
        <w:p>
          <w:pPr>
            <w:pStyle w:val="74"/>
            <w:tabs>
              <w:tab w:val="right" w:leader="dot" w:pos="8306"/>
            </w:tabs>
          </w:pPr>
          <w:r>
            <w:rPr>
              <w:bCs/>
            </w:rPr>
            <w:fldChar w:fldCharType="begin"/>
          </w:r>
          <w:r>
            <w:rPr>
              <w:bCs/>
            </w:rPr>
            <w:instrText xml:space="preserve"> HYPERLINK \l _Toc12975 </w:instrText>
          </w:r>
          <w:r>
            <w:rPr>
              <w:bCs/>
            </w:rPr>
            <w:fldChar w:fldCharType="separate"/>
          </w:r>
          <w:r>
            <w:rPr>
              <w:rFonts w:hint="eastAsia" w:ascii="楷体" w:hAnsi="楷体" w:eastAsia="楷体"/>
              <w:szCs w:val="24"/>
            </w:rPr>
            <w:t>铅：供应增加预期施压，谨慎看待上方空间</w:t>
          </w:r>
          <w:r>
            <w:rPr>
              <w:bCs/>
            </w:rPr>
            <w:fldChar w:fldCharType="end"/>
          </w:r>
        </w:p>
        <w:p>
          <w:pPr>
            <w:pStyle w:val="74"/>
            <w:tabs>
              <w:tab w:val="right" w:leader="dot" w:pos="8306"/>
            </w:tabs>
          </w:pPr>
          <w:r>
            <w:rPr>
              <w:bCs/>
            </w:rPr>
            <w:fldChar w:fldCharType="begin"/>
          </w:r>
          <w:r>
            <w:rPr>
              <w:bCs/>
            </w:rPr>
            <w:instrText xml:space="preserve"> HYPERLINK \l _Toc12612 </w:instrText>
          </w:r>
          <w:r>
            <w:rPr>
              <w:bCs/>
            </w:rPr>
            <w:fldChar w:fldCharType="separate"/>
          </w:r>
          <w:r>
            <w:rPr>
              <w:rFonts w:hint="eastAsia" w:ascii="楷体" w:hAnsi="楷体" w:eastAsia="楷体"/>
              <w:szCs w:val="24"/>
            </w:rPr>
            <w:t>不锈钢：期价承压运行</w:t>
          </w:r>
          <w:r>
            <w:rPr>
              <w:bCs/>
            </w:rPr>
            <w:fldChar w:fldCharType="end"/>
          </w:r>
        </w:p>
        <w:p>
          <w:pPr>
            <w:pStyle w:val="74"/>
            <w:tabs>
              <w:tab w:val="right" w:leader="dot" w:pos="8306"/>
            </w:tabs>
          </w:pPr>
          <w:r>
            <w:rPr>
              <w:bCs/>
            </w:rPr>
            <w:fldChar w:fldCharType="begin"/>
          </w:r>
          <w:r>
            <w:rPr>
              <w:bCs/>
            </w:rPr>
            <w:instrText xml:space="preserve"> HYPERLINK \l _Toc1012 </w:instrText>
          </w:r>
          <w:r>
            <w:rPr>
              <w:bCs/>
            </w:rPr>
            <w:fldChar w:fldCharType="separate"/>
          </w:r>
          <w:r>
            <w:rPr>
              <w:rFonts w:hint="eastAsia" w:ascii="楷体" w:hAnsi="楷体" w:eastAsia="楷体"/>
              <w:szCs w:val="24"/>
            </w:rPr>
            <w:t>工业硅：基本面改善预期有限，盘面或维持底部震荡</w:t>
          </w:r>
          <w:r>
            <w:rPr>
              <w:bCs/>
            </w:rPr>
            <w:fldChar w:fldCharType="end"/>
          </w:r>
        </w:p>
        <w:p>
          <w:pPr>
            <w:pStyle w:val="74"/>
            <w:tabs>
              <w:tab w:val="right" w:leader="dot" w:pos="8306"/>
            </w:tabs>
          </w:pPr>
          <w:r>
            <w:rPr>
              <w:bCs/>
            </w:rPr>
            <w:fldChar w:fldCharType="begin"/>
          </w:r>
          <w:r>
            <w:rPr>
              <w:bCs/>
            </w:rPr>
            <w:instrText xml:space="preserve"> HYPERLINK \l _Toc30728 </w:instrText>
          </w:r>
          <w:r>
            <w:rPr>
              <w:bCs/>
            </w:rPr>
            <w:fldChar w:fldCharType="separate"/>
          </w:r>
          <w:r>
            <w:rPr>
              <w:rFonts w:hint="eastAsia" w:ascii="楷体" w:hAnsi="楷体" w:eastAsia="楷体"/>
              <w:szCs w:val="24"/>
            </w:rPr>
            <w:t>螺纹钢：增量政策低于预期，盘面承压下行</w:t>
          </w:r>
          <w:r>
            <w:rPr>
              <w:bCs/>
            </w:rPr>
            <w:fldChar w:fldCharType="end"/>
          </w:r>
        </w:p>
        <w:p>
          <w:pPr>
            <w:pStyle w:val="59"/>
            <w:tabs>
              <w:tab w:val="right" w:leader="dot" w:pos="8306"/>
            </w:tabs>
          </w:pPr>
          <w:r>
            <w:rPr>
              <w:bCs/>
            </w:rPr>
            <w:fldChar w:fldCharType="begin"/>
          </w:r>
          <w:r>
            <w:rPr>
              <w:bCs/>
            </w:rPr>
            <w:instrText xml:space="preserve"> HYPERLINK \l _Toc4371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_Toc30986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主产区天气降雨减少 天胶原料端支撑减弱</w:t>
          </w:r>
          <w:r>
            <w:rPr>
              <w:bCs/>
            </w:rPr>
            <w:fldChar w:fldCharType="end"/>
          </w:r>
        </w:p>
        <w:p>
          <w:pPr>
            <w:pStyle w:val="74"/>
            <w:tabs>
              <w:tab w:val="right" w:leader="dot" w:pos="8306"/>
            </w:tabs>
          </w:pPr>
          <w:r>
            <w:rPr>
              <w:bCs/>
            </w:rPr>
            <w:fldChar w:fldCharType="begin"/>
          </w:r>
          <w:r>
            <w:rPr>
              <w:bCs/>
            </w:rPr>
            <w:instrText xml:space="preserve"> HYPERLINK \l _Toc12045 </w:instrText>
          </w:r>
          <w:r>
            <w:rPr>
              <w:bCs/>
            </w:rPr>
            <w:fldChar w:fldCharType="separate"/>
          </w:r>
          <w:r>
            <w:rPr>
              <w:rFonts w:hint="eastAsia" w:ascii="Times New Roman" w:hAnsi="Times New Roman" w:eastAsia="楷体"/>
              <w:szCs w:val="24"/>
            </w:rPr>
            <w:t>聚烯烃：旺季需求提振有限，聚烯烃随原油波动为主</w:t>
          </w:r>
          <w:r>
            <w:rPr>
              <w:bCs/>
            </w:rPr>
            <w:fldChar w:fldCharType="end"/>
          </w:r>
        </w:p>
        <w:p>
          <w:pPr>
            <w:pStyle w:val="74"/>
            <w:tabs>
              <w:tab w:val="right" w:leader="dot" w:pos="8306"/>
            </w:tabs>
          </w:pPr>
          <w:r>
            <w:rPr>
              <w:bCs/>
            </w:rPr>
            <w:fldChar w:fldCharType="begin"/>
          </w:r>
          <w:r>
            <w:rPr>
              <w:bCs/>
            </w:rPr>
            <w:instrText xml:space="preserve"> HYPERLINK \l _Toc28095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_Toc20527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_Toc19258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_Toc14647 </w:instrText>
          </w:r>
          <w:r>
            <w:rPr>
              <w:bCs/>
            </w:rPr>
            <w:fldChar w:fldCharType="separate"/>
          </w:r>
          <w:r>
            <w:rPr>
              <w:rFonts w:hint="eastAsia" w:ascii="Times New Roman" w:hAnsi="Times New Roman" w:eastAsia="楷体"/>
              <w:szCs w:val="24"/>
            </w:rPr>
            <w:t>PTA：受宏观及成本端驱动弱势探底</w:t>
          </w:r>
          <w:r>
            <w:rPr>
              <w:bCs/>
            </w:rPr>
            <w:fldChar w:fldCharType="end"/>
          </w:r>
        </w:p>
        <w:p>
          <w:pPr>
            <w:pStyle w:val="74"/>
            <w:tabs>
              <w:tab w:val="right" w:leader="dot" w:pos="8306"/>
            </w:tabs>
          </w:pPr>
          <w:r>
            <w:rPr>
              <w:bCs/>
            </w:rPr>
            <w:fldChar w:fldCharType="begin"/>
          </w:r>
          <w:r>
            <w:rPr>
              <w:bCs/>
            </w:rPr>
            <w:instrText xml:space="preserve"> HYPERLINK \l _Toc16218 </w:instrText>
          </w:r>
          <w:r>
            <w:rPr>
              <w:bCs/>
            </w:rPr>
            <w:fldChar w:fldCharType="separate"/>
          </w:r>
          <w:r>
            <w:rPr>
              <w:rFonts w:hint="eastAsia" w:ascii="Times New Roman" w:hAnsi="Times New Roman" w:eastAsia="楷体"/>
              <w:szCs w:val="24"/>
            </w:rPr>
            <w:t>乙二醇：供需格局尚可 修复低估值</w:t>
          </w:r>
          <w:r>
            <w:rPr>
              <w:bCs/>
            </w:rPr>
            <w:fldChar w:fldCharType="end"/>
          </w:r>
        </w:p>
        <w:p>
          <w:pPr>
            <w:pStyle w:val="59"/>
            <w:tabs>
              <w:tab w:val="right" w:leader="dot" w:pos="8306"/>
            </w:tabs>
          </w:pPr>
          <w:r>
            <w:rPr>
              <w:bCs/>
            </w:rPr>
            <w:fldChar w:fldCharType="begin"/>
          </w:r>
          <w:r>
            <w:rPr>
              <w:bCs/>
            </w:rPr>
            <w:instrText xml:space="preserve"> HYPERLINK \l _Toc13394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_Toc6197 </w:instrText>
          </w:r>
          <w:r>
            <w:rPr>
              <w:bCs/>
            </w:rPr>
            <w:fldChar w:fldCharType="separate"/>
          </w:r>
          <w:r>
            <w:rPr>
              <w:rFonts w:hint="eastAsia" w:ascii="楷体" w:hAnsi="楷体" w:eastAsia="楷体"/>
              <w:bCs/>
            </w:rPr>
            <w:t>玉米与淀粉：</w:t>
          </w:r>
          <w:r>
            <w:rPr>
              <w:rFonts w:hint="eastAsia" w:ascii="楷体" w:hAnsi="楷体" w:eastAsia="楷体"/>
            </w:rPr>
            <w:t>期价继续回落</w:t>
          </w:r>
          <w:r>
            <w:rPr>
              <w:bCs/>
            </w:rPr>
            <w:fldChar w:fldCharType="end"/>
          </w:r>
        </w:p>
        <w:p>
          <w:pPr>
            <w:pStyle w:val="74"/>
            <w:tabs>
              <w:tab w:val="right" w:leader="dot" w:pos="8306"/>
            </w:tabs>
          </w:pPr>
          <w:r>
            <w:rPr>
              <w:bCs/>
            </w:rPr>
            <w:fldChar w:fldCharType="begin"/>
          </w:r>
          <w:r>
            <w:rPr>
              <w:bCs/>
            </w:rPr>
            <w:instrText xml:space="preserve"> HYPERLINK \l _Toc22874 </w:instrText>
          </w:r>
          <w:r>
            <w:rPr>
              <w:bCs/>
            </w:rPr>
            <w:fldChar w:fldCharType="separate"/>
          </w:r>
          <w:r>
            <w:rPr>
              <w:rFonts w:hint="eastAsia" w:ascii="楷体" w:hAnsi="楷体" w:eastAsia="楷体"/>
              <w:bCs/>
            </w:rPr>
            <w:t>畜禽养殖：生猪期价继续创出新低</w:t>
          </w:r>
          <w:r>
            <w:rPr>
              <w:bCs/>
            </w:rPr>
            <w:fldChar w:fldCharType="end"/>
          </w:r>
        </w:p>
        <w:p>
          <w:pPr>
            <w:pStyle w:val="74"/>
            <w:tabs>
              <w:tab w:val="right" w:leader="dot" w:pos="8306"/>
            </w:tabs>
          </w:pPr>
          <w:r>
            <w:rPr>
              <w:bCs/>
            </w:rPr>
            <w:fldChar w:fldCharType="begin"/>
          </w:r>
          <w:r>
            <w:rPr>
              <w:bCs/>
            </w:rPr>
            <w:instrText xml:space="preserve"> HYPERLINK \l _Toc28658 </w:instrText>
          </w:r>
          <w:r>
            <w:rPr>
              <w:bCs/>
            </w:rPr>
            <w:fldChar w:fldCharType="separate"/>
          </w:r>
          <w:r>
            <w:rPr>
              <w:rFonts w:hint="eastAsia" w:ascii="楷体" w:hAnsi="楷体" w:eastAsia="楷体"/>
              <w:bCs/>
            </w:rPr>
            <w:t>白糖：未能突破6000关口，白糖掉头下试</w:t>
          </w:r>
          <w:r>
            <w:rPr>
              <w:bCs/>
            </w:rPr>
            <w:fldChar w:fldCharType="end"/>
          </w:r>
        </w:p>
        <w:p>
          <w:pPr>
            <w:pStyle w:val="74"/>
            <w:tabs>
              <w:tab w:val="right" w:leader="dot" w:pos="8306"/>
            </w:tabs>
          </w:pPr>
          <w:r>
            <w:rPr>
              <w:bCs/>
            </w:rPr>
            <w:fldChar w:fldCharType="begin"/>
          </w:r>
          <w:r>
            <w:rPr>
              <w:bCs/>
            </w:rPr>
            <w:instrText xml:space="preserve"> HYPERLINK \l _Toc31937 </w:instrText>
          </w:r>
          <w:r>
            <w:rPr>
              <w:bCs/>
            </w:rPr>
            <w:fldChar w:fldCharType="separate"/>
          </w:r>
          <w:r>
            <w:rPr>
              <w:rFonts w:hint="eastAsia" w:ascii="楷体" w:hAnsi="楷体" w:eastAsia="楷体"/>
              <w:bCs/>
            </w:rPr>
            <w:t>棉花：预计郑棉区间偏弱震荡</w:t>
          </w:r>
          <w:r>
            <w:rPr>
              <w:bCs/>
            </w:rPr>
            <w:fldChar w:fldCharType="end"/>
          </w:r>
        </w:p>
        <w:p>
          <w:pPr>
            <w:pStyle w:val="74"/>
            <w:tabs>
              <w:tab w:val="right" w:leader="dot" w:pos="8306"/>
            </w:tabs>
          </w:pPr>
          <w:r>
            <w:rPr>
              <w:bCs/>
            </w:rPr>
            <w:fldChar w:fldCharType="begin"/>
          </w:r>
          <w:r>
            <w:rPr>
              <w:bCs/>
            </w:rPr>
            <w:instrText xml:space="preserve"> HYPERLINK \l _Toc2172 </w:instrText>
          </w:r>
          <w:r>
            <w:rPr>
              <w:bCs/>
            </w:rPr>
            <w:fldChar w:fldCharType="separate"/>
          </w:r>
          <w:r>
            <w:rPr>
              <w:rFonts w:hint="eastAsia" w:ascii="楷体" w:hAnsi="楷体" w:eastAsia="楷体"/>
              <w:bCs/>
            </w:rPr>
            <w:t>蛋白粕：供应宽松叠加宏观情绪转弱，粕类大幅下跌</w:t>
          </w:r>
          <w:r>
            <w:rPr>
              <w:bCs/>
            </w:rPr>
            <w:fldChar w:fldCharType="end"/>
          </w:r>
        </w:p>
        <w:p>
          <w:pPr>
            <w:pStyle w:val="74"/>
            <w:tabs>
              <w:tab w:val="right" w:leader="dot" w:pos="8306"/>
            </w:tabs>
          </w:pPr>
          <w:r>
            <w:rPr>
              <w:bCs/>
            </w:rPr>
            <w:fldChar w:fldCharType="begin"/>
          </w:r>
          <w:r>
            <w:rPr>
              <w:bCs/>
            </w:rPr>
            <w:instrText xml:space="preserve"> HYPERLINK \l _Toc8966 </w:instrText>
          </w:r>
          <w:r>
            <w:rPr>
              <w:bCs/>
            </w:rPr>
            <w:fldChar w:fldCharType="separate"/>
          </w:r>
          <w:r>
            <w:rPr>
              <w:rFonts w:hint="eastAsia" w:ascii="楷体" w:hAnsi="楷体" w:eastAsia="楷体"/>
              <w:bCs/>
            </w:rPr>
            <w:t>油脂类：市场情绪回落，油脂高位震荡</w:t>
          </w:r>
          <w:r>
            <w:rPr>
              <w:bCs/>
            </w:rPr>
            <w:fldChar w:fldCharType="end"/>
          </w:r>
        </w:p>
        <w:p>
          <w:pPr>
            <w:pStyle w:val="59"/>
            <w:tabs>
              <w:tab w:val="right" w:leader="dot" w:pos="8306"/>
            </w:tabs>
          </w:pPr>
          <w:r>
            <w:rPr>
              <w:bCs/>
            </w:rPr>
            <w:fldChar w:fldCharType="begin"/>
          </w:r>
          <w:r>
            <w:rPr>
              <w:bCs/>
            </w:rPr>
            <w:instrText xml:space="preserve"> HYPERLINK \l _Toc23977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_Toc1196 </w:instrText>
          </w:r>
          <w:r>
            <w:rPr>
              <w:bCs/>
            </w:rPr>
            <w:fldChar w:fldCharType="separate"/>
          </w:r>
          <w:r>
            <w:rPr>
              <w:rFonts w:hint="eastAsia" w:ascii="Times New Roman" w:hAnsi="Times New Roman" w:eastAsia="楷体"/>
              <w:szCs w:val="24"/>
            </w:rPr>
            <w:t>集运指数（欧线）：欧央行降息25bp，主力期价小幅下跌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364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428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观望为主，待市场情绪回归平稳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政策预期差变化，A股回归存量博弈，同时美国9月非农就业和通胀超预期，地缘政治风险升温，美国大选存变数，美元指数反弹，带动近期人民币汇率偏弱，短期给市场带来一定调整压力，短线观望为主，等待市场情绪回归平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44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7594"/>
      <w:r>
        <w:rPr>
          <w:rFonts w:hint="eastAsia" w:ascii="Times New Roman" w:hAnsi="Times New Roman" w:eastAsia="楷体"/>
          <w:b/>
          <w:color w:val="000000" w:themeColor="text1"/>
          <w:sz w:val="24"/>
          <w:szCs w:val="24"/>
          <w14:textFill>
            <w14:solidFill>
              <w14:schemeClr w14:val="tx1"/>
            </w14:solidFill>
          </w14:textFill>
        </w:rPr>
        <w:t>贵金属：美国零售销售环比略高于预期，沪金价格上涨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0.73%至617.28元/克；沪银跌0.39%至7878元/千克。美国9月零售销售环比增0.4%，略高于预期的增0.3%，前值增0.1%。欧央行降息25bp，将存款机制利率、主要再融资利率和边际贷款利率均下调25个基点，符合市场预期。中东及半岛局势紧张提振避险情绪，贵金属价格周内上涨，沪金续创新高。后续市场围绕美国经济“软着陆”可能性进行交易，海外持续降息、美国大选临近以及地缘政治冲突风险等仍将提振避险情绪，贵金属价格可能维持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021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200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碳酸锂：空头氛围浓厚，期价维持跌势</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11合约收跌5.12%至68600元/吨，续创新低。临近月底主力合约持仓陆续换月，维持空头氛围，留意短线期价波动加剧风险，现货方面部分参考01合约报价。10月三元前驱体或有所减产，海外需求下降，三元材料终端需求变化较小；磷酸铁锂价格近期略微上涨。澳矿CIF价格小幅下行，现货供应较宽松，下游询价较活跃但采购意愿偏弱。社会库存处于高位，主力换月期间存在一定的仓单压力。短线续创新低后偏弱运行，空单可逢低部分止盈。</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080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短期回调盘整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利多情绪逐步消化，美元指数近期走势偏强，有色板块走势略有承压，国内政策频出利好但市场资金反馈出来的情绪较弱。进口铝土矿短期内仍受几内亚雨季影响，国内矿山产出提增但后续即将进入下游冬储备货期，预计矿端仍旧保持供不应求的状态，氧化铝开产产能占比超87%，高利润刺激下产线超负荷生产，其现货端报价坚挺，总库存水平持续下降，后续在冬季环保压力及供暖需求下，氧化铝供应持续偏紧，电解铝生产成本支撑不断强化，电解铝开产产能高位，云南地区枯水期对整体产能影响有限，下游需求来看，国内政策面利多释放刺激市场消费，国庆节日期间及假后地产消费明显提振，汽车、光伏消费仍有支撑。</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氧化铝价格高位强化电解铝成本支撑，供应高位但需求有乐观改善预期，铝价近期回调盘整，等待充分调整后布多机会。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7142"/>
      <w:r>
        <w:rPr>
          <w:rFonts w:hint="eastAsia" w:ascii="楷体" w:hAnsi="楷体" w:eastAsia="楷体"/>
          <w:b/>
          <w:color w:val="000000" w:themeColor="text1"/>
          <w:sz w:val="24"/>
          <w:szCs w:val="24"/>
          <w14:textFill>
            <w14:solidFill>
              <w14:schemeClr w14:val="tx1"/>
            </w14:solidFill>
          </w14:textFill>
        </w:rPr>
        <w:t>锌：锌价高位回调</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降息乐观预期降温，国内政策工具箱打开但市场资金给出的反馈不理想，宏观情绪走弱。基本面上，，全球锌矿及精炼锌供应收紧，海外有部分产能因天气或不可抗力因素减产，俄罗斯Oz、国内的火烧云有增量投放但投放情况对产量补充改善有限，国内锌矿产量有所提增但进口矿补充因成本倒挂受限，国内矿供应依旧保持紧张，矿端加工利润丰厚，矿TC加工费低位，冶炼端保持亏损，叠加原料供应限制，冶炼厂开工率同比下降明显，主要减量来自陕西、安徽、云南、内蒙、广西、辽宁等地。下游需求处于弱现实、强预期的状态，需求端提振无明显改善拉低市场乐观预期。宏观情绪走弱，基本面供应端边际收紧，需求端弱现实、强预期，现实需求仍限制价格上方想象空间，前高压力依旧有效，短期锌价高位回调盘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604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：美元指数强势继续压制价格</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(1)宏观：美国9月零售销售环比增加0.4%，剔除汽车和汽油后零售额同比增长0.7%，均超出市场预期。美国劳工部公布的数据显示，美国上周首次申领失业救济人数为24.1万人，低于市场预期。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(2)库存：10月17日，SHFE仓单库存66540吨，减1947吨；LME仓单库存287425吨，减1325吨。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(3)精废价差：10月17日，Mysteel精废价差1416，扩张344。目前价差在合理价差1470之下。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9月美国零售销售和申领失业金数据发布后，美联储降息预期继续下调，美元指数保持偏强运行，压制整体有色走势，叠加昨日五部门发布会结束，市场大体依然觉得政策不及预期，国内股市继续下跌，整体宏观情绪表现偏空。基本面，节后库存季节性累增，现货承压运行，但受国内冶炼厂减产影响未来国产铜供应量将进一步下降，预计库存累增压力不大。当前宏观情绪主导下，铜价保持震荡偏弱，关注75000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0313"/>
      <w:r>
        <w:rPr>
          <w:rFonts w:hint="eastAsia" w:ascii="楷体" w:hAnsi="楷体" w:eastAsia="楷体"/>
          <w:b/>
          <w:color w:val="000000" w:themeColor="text1"/>
          <w:sz w:val="24"/>
          <w:szCs w:val="24"/>
          <w14:textFill>
            <w14:solidFill>
              <w14:schemeClr w14:val="tx1"/>
            </w14:solidFill>
          </w14:textFill>
        </w:rPr>
        <w:t>镍：印尼镍矿配额或加快，预计镍价偏弱运行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宏观方面，市场对政策乐观预期降温，不过后续财政政策仍有期待空间。镍矿方面，本周Eramet 与青山集团的合资镍矿山 PT Weda Bay Nickel再次通过1600万吨镍矿配额，说明印尼镍矿RKAB进度或加快，印尼镍矿供应紧张状况或趋松。硫酸镍方面，中间品价格系数坚挺，而下游三元材料补库需求较淡，受镍价下跌的影响，硫酸镍厂挺价情绪减弱。供需方面，下游成交氛围偏淡，精炼镍延续过剩格局，库存呈现趋势性累库。综合而言，宏观情绪降温，镍基本面未有起色，加上印尼大型矿山获批镍矿配额量增加，短期镍价或偏弱运行，关注宏观变化及印尼镍矿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4385"/>
      <w:r>
        <w:rPr>
          <w:rFonts w:hint="eastAsia" w:ascii="楷体" w:hAnsi="楷体" w:eastAsia="楷体"/>
          <w:b/>
          <w:color w:val="000000" w:themeColor="text1"/>
          <w:sz w:val="24"/>
          <w:szCs w:val="24"/>
          <w14:textFill>
            <w14:solidFill>
              <w14:schemeClr w14:val="tx1"/>
            </w14:solidFill>
          </w14:textFill>
        </w:rPr>
        <w:t>锡：短期震荡偏弱，底部有支撑</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元指数保持偏强运行，压制整体有色走势，叠加昨日五部门发布会结束，市场大体依然觉得政策不及预期，国内股市继续下跌，整体宏观情绪表现偏空。基本面，锡供应端仍是支撑价格的关键因素，冶炼厂加工费再度下调凸显原料供应偏紧，矿紧对锡锭减量的传导或仍需要时间，但中长期存在可能，对价格仍有底部支撑。料短期沪锡延续高位震荡，若后期供应端矛盾激化，或推动锡价进一步上行。操作上，暂时观望，待低位点价接货。</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2975"/>
      <w:r>
        <w:rPr>
          <w:rFonts w:hint="eastAsia" w:ascii="楷体" w:hAnsi="楷体" w:eastAsia="楷体"/>
          <w:b/>
          <w:color w:val="000000" w:themeColor="text1"/>
          <w:sz w:val="24"/>
          <w:szCs w:val="24"/>
          <w14:textFill>
            <w14:solidFill>
              <w14:schemeClr w14:val="tx1"/>
            </w14:solidFill>
          </w14:textFill>
        </w:rPr>
        <w:t>铅：供应增加预期施压，谨慎看待上方空间</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近日废电瓶到货增加。供应方面，原生铅企业基本恢复生产，再生铅企业也在逐步复产，不过需关注安徽环保检查对供应影响情况。需求方面，近期下游消费边际好转但改善程度也有限，社会库存增幅明显，10月14日国内主要市场铅锭社会库存为7.62万吨，较10月10日增加0.33万吨，较10月8日增加1.16万吨。综合而言，区域环保检查及消费边际好转为铅价提供支撑，但供应趋增预期及累库趋势对铅价施压，谨慎看待反弹空间，关注环保检查影响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2612"/>
      <w:r>
        <w:rPr>
          <w:rFonts w:hint="eastAsia" w:ascii="楷体" w:hAnsi="楷体" w:eastAsia="楷体"/>
          <w:b/>
          <w:color w:val="000000" w:themeColor="text1"/>
          <w:sz w:val="24"/>
          <w:szCs w:val="24"/>
          <w14:textFill>
            <w14:solidFill>
              <w14:schemeClr w14:val="tx1"/>
            </w14:solidFill>
          </w14:textFill>
        </w:rPr>
        <w:t>不锈钢：期价承压运行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宏观面，市场对政策乐观预期降温，基本金属板块整体承压。镍矿方面，本周Eramet 与青山集团的合资镍矿山 PT Weda Bay Nickel再次通过1600万吨镍矿配额，体现印尼镍矿RKAB进度加快，印尼镍矿供应紧张状况或缓解。镍铁方面，青山最新招标价格1050元/镍（到厂含税），交期11月，不锈钢成本支撑上移，但镍矿消息或利空镍铁价格。供需方面，不锈钢厂排产维持高位水平，近日下游补库虽有改善但幅度有限，社会库存小幅累库，截至10月17日，全国社会库存101.95万吨，周环比上升0.89%。综合而言，镍铁价格走强对不锈钢期价形成支撑，但社会库存转为小幅累积，加上印尼镍矿配额释放消息，不锈钢期价承压运行，多单或可择机止盈。</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01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基本面改善预期有限，盘面或维持底部震荡</w:t>
      </w:r>
      <w:bookmarkEnd w:id="27"/>
    </w:p>
    <w:p>
      <w:pPr>
        <w:ind w:left="630" w:leftChars="300"/>
        <w:rPr>
          <w:rFonts w:ascii="楷体" w:hAnsi="楷体" w:eastAsia="楷体"/>
          <w:sz w:val="24"/>
          <w:szCs w:val="24"/>
        </w:rPr>
      </w:pPr>
      <w:r>
        <w:rPr>
          <w:rFonts w:hint="eastAsia" w:ascii="楷体" w:hAnsi="楷体" w:eastAsia="楷体"/>
          <w:sz w:val="24"/>
          <w:szCs w:val="24"/>
        </w:rPr>
        <w:t>10月17日，Si2411主力合约呈下跌走势，收盘价9580元/吨，较上一收盘价涨跌幅-1.44%。从宏观面来看，昨日住建部等五部门召开发布会，更多是对之前政策的延续，增量的政策低于市场预期，使得宏观情绪再度转弱。从基本面来看，西南即将进入枯水期存在减产预期，北方存在新增产能投放预期，呈现南减北增格局，而需求端暂未明显起色，基本面改善预期相对有限。综合而言，基本面依旧处于相对宽松，随着仓单集中注销越来越近，仓单总量依旧较高，反弹压力仍存，盘面维持底部震荡观点，Si2411参考区间（9200，10200），后续可关注Si2411-Si2411价差，监测仓单压力释放情况。策略上，维持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30728"/>
      <w:r>
        <w:rPr>
          <w:rFonts w:hint="eastAsia" w:ascii="楷体" w:hAnsi="楷体" w:eastAsia="楷体"/>
          <w:b/>
          <w:color w:val="000000" w:themeColor="text1"/>
          <w:sz w:val="24"/>
          <w:szCs w:val="24"/>
          <w14:textFill>
            <w14:solidFill>
              <w14:schemeClr w14:val="tx1"/>
            </w14:solidFill>
          </w14:textFill>
        </w:rPr>
        <w:t>螺纹钢：增量政策低于预期，盘面承压下行</w:t>
      </w:r>
      <w:bookmarkEnd w:id="28"/>
    </w:p>
    <w:p>
      <w:pPr>
        <w:ind w:left="630" w:leftChars="300"/>
        <w:rPr>
          <w:rFonts w:ascii="楷体" w:hAnsi="楷体" w:eastAsia="楷体"/>
          <w:sz w:val="24"/>
          <w:szCs w:val="24"/>
        </w:rPr>
      </w:pPr>
      <w:r>
        <w:rPr>
          <w:rFonts w:hint="eastAsia" w:ascii="楷体" w:hAnsi="楷体" w:eastAsia="楷体"/>
          <w:sz w:val="24"/>
          <w:szCs w:val="24"/>
        </w:rPr>
        <w:t>从宏观面来看，昨日住建部等五部门召开发布会，更多是对之前政策的延续，增量的政策低于市场预期，使得宏观情绪再度转弱。从基本面来看，近期国内钢材市场连续下调，终端采购进度放缓，整体成交表现偏弱，市场商家观望心态明显增多。整体来看，在宏观情绪再度转弱背景下，叠加基本面边际走弱，使得盘面整体承压下行，预计后续将震荡偏弱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4371"/>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3098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主产区天气降雨减少 天胶原料端支撑减弱</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整体出现回落。伴随后续天气好转，原料价格支撑或有所松动。库存方面，本周青岛港口小幅累库。下游需求方面，全钢轮胎检修企业数量及检修天数同比去年均明显增加，半钢轮胎检修企业数量及总减损情况同比去年有所减少。全钢轮胎企业多受困于高成本、低需求和库存压力而选择停产检修，半钢轮胎企业则得益于出口市场的强劲支撑和合理的库存水平而维持开工高景气。整体看，尽管四季度橡胶在基本面供小于求的支撑下以偏多头思路看待，但仍需持续关注东南亚主产区短期降水问题有出现缓和迹象，以及全钢胎阶段性需求较差的问题，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2045"/>
      <w:r>
        <w:rPr>
          <w:rFonts w:hint="eastAsia" w:ascii="Times New Roman" w:hAnsi="Times New Roman" w:eastAsia="楷体"/>
          <w:b/>
          <w:color w:val="000000" w:themeColor="text1"/>
          <w:sz w:val="24"/>
          <w:szCs w:val="24"/>
          <w14:textFill>
            <w14:solidFill>
              <w14:schemeClr w14:val="tx1"/>
            </w14:solidFill>
          </w14:textFill>
        </w:rPr>
        <w:t>聚烯烃：旺季需求提振有限，聚烯烃随原油波动为主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成本端原油方面，地缘缓和叠加需求压力 国际油价或有下跌空间。同时考虑到塑料现实供需端的压力，主要是前期检修装置的逐步复产和部分新增产能项目的上马推进，上方反弹幅度受限。贸易商根据库存情况部分上调价格，但聚烯烃终端下游开工整体变化不大，节前补库力度不及预期。后市需持续关注宏观对聚烯烃的提振和地缘冲突的情况，短期偏震荡思路看待。</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8095"/>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0527"/>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9258"/>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4647"/>
      <w:r>
        <w:rPr>
          <w:rFonts w:hint="eastAsia" w:ascii="Times New Roman" w:hAnsi="Times New Roman" w:eastAsia="楷体"/>
          <w:b/>
          <w:color w:val="000000" w:themeColor="text1"/>
          <w:sz w:val="24"/>
          <w:szCs w:val="24"/>
          <w14:textFill>
            <w14:solidFill>
              <w14:schemeClr w14:val="tx1"/>
            </w14:solidFill>
          </w14:textFill>
        </w:rPr>
        <w:t>PTA：受宏观及成本端驱动弱势探底</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中东局势不稳定的影响仍存，市场等待以军反击，短线偏震荡。OPEC连续第三个月下调全球原油需求增速预测，中线市场交易逻辑回归原油市场供需，或有进一步转弱风险。恒力惠州2期250万吨落实检修，个别装置周内负荷小幅变动，至周四PTA负荷下调至80.4%（-2.8%）。长丝短纤局部负荷提升及瓶片新增产能，综合来看聚酯负荷继续回升。截至10.10，初步核算国内大陆地区聚酯负荷在92 %附近，随着天气转冷下游开工小幅提升。旺季预期仍存下游开工提升，10月PTA累库格局放缓供需格局改善。9月下旬到10月这段时间服装电商开始集中下单，关注PTA阶段性供需去库行情。综合来看，目前供减需增，PTA现货基差走弱，聚酯产业链受宏观及成本端驱动弱势探底。</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16218"/>
      <w:r>
        <w:rPr>
          <w:rFonts w:hint="eastAsia" w:ascii="Times New Roman" w:hAnsi="Times New Roman" w:eastAsia="楷体"/>
          <w:b/>
          <w:color w:val="000000" w:themeColor="text1"/>
          <w:sz w:val="24"/>
          <w:szCs w:val="24"/>
          <w14:textFill>
            <w14:solidFill>
              <w14:schemeClr w14:val="tx1"/>
            </w14:solidFill>
          </w14:textFill>
        </w:rPr>
        <w:t>乙二醇：供需格局尚可 修复低估值</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截至10.14华东主港地区MEG港口库存约54.7万吨附近，环比上期（10.8）下降0.1万吨。乙二醇近期到港减少，主港显性库存去化明显，绝对库存处于历年低位水平。截至10月17日，中国大陆地区乙二醇整体开工负荷在68.64%（+0.8%），其中草酸催化加氢法（合成气）制乙二醇开工负荷在64.24%（+2.45%）。下游聚酯开工情况来看，聚酯端负荷整体保持良好，截至10.17，初步核算国内大陆地区聚酯负荷在92%附近，尤其是长丝负荷持续较高。聚酯端库存来看，长丝促销效果显著，整体库存节前维持去化。终端开工情况来看，截止10.17江浙下游加弹、织造、印染负荷分别在93%、83%、86%，整体开工高位维持，织造端坯布整体新订单和出货量较节前多有提振。综合来看，乙二醇9-10的旺季预期下自身供需尚可。根据供需平衡表测算10月紧平衡叠加低库存，乙二醇低估值有望修复，维持低多思路。</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13394"/>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619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期价继续回落</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延续弱势，华北产区涨跌互现，东北产区与南北方港口继续稳中有跌；玉米期价早盘虽有反复，但全天继续收跌。对于玉米而言，目前市场利多逐步显现，包括华北小麦上涨和东北储备收购，这可能带动部分中下游贸易与需求企业入市做库存，但考虑到新作压力仍有待释放，且市场预期仍未转向新作供需缺口预期，市场或仍处于化解新作上市压力的被动去库存阶段，尚未进入主动补库存阶段，在这个微妙的阶段，建议重点关注现货走势，因其对应新作压力的释放。在这种情况下，我们暂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稳中有涨，局部地区报价上调20-50元不等；淀粉期价跟随玉米继续下跌，淀粉-玉米价差变动不大。对于淀粉而言，影响淀粉-玉米价差的三个方面因素发生着变化，副产品依然利多，原料端则转向偏多，因国庆长假前后华北玉米反弹，而东北玉米持续弱势，华北-东北玉米价差有望走扩；行业供需转向偏空，因行业库存开始回升，而下游开机率出现下降。考虑到现货基差及其盘面加工利润，我们倾向于淀粉-玉米价差收窄空间受限。在这种情况下，我们暂维持中性观点，建议单边投资者暂以观望为宜，套利投资者可以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2874"/>
      <w:r>
        <w:rPr>
          <w:rFonts w:hint="eastAsia" w:ascii="楷体" w:hAnsi="楷体" w:eastAsia="楷体"/>
          <w:b/>
          <w:bCs/>
          <w:color w:val="000000" w:themeColor="text1"/>
          <w14:textFill>
            <w14:solidFill>
              <w14:schemeClr w14:val="tx1"/>
            </w14:solidFill>
          </w14:textFill>
        </w:rPr>
        <w:t>畜禽养殖：生猪期价继续创出新低</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涨跌互现，全国均价维持在17.69元/公斤；期价整体弱势，各合约再度创出新低，带动基差继续走弱。对于生猪而言，从期价远期贴水结构可以看出，市场对生猪市场远期供需改善预期较为一致，这可以从若干方面得到印证，包括能繁母猪存栏见底回升，猪料产量环比增加，仔猪价格见顶回落等。市场分歧或更多集中在11月合约上，这主要源于两个方面，即二育规模和消费需求，8月以来生猪屠宰量增加，肥标价差回落，使得市场担心生猪供应低点对应现货价格高点已经出现。但在我们看来，从供应角度看春节前猪价下跌空间或有限，与过去两年特别是2022年相比，农业农村部公布的2季度末生猪存栏量更低，而7月规模以上屠宰企业生猪屠宰量更高，加上涌益咨询公布的7月以来日度屠宰量亦高于2022年，因此，可以合理推算四季度供应压力显著低于2022年。而8月以来特别是9月生猪出栏增加而体重下滑，带动供应提前释放，这反而有利于年前特别是四季度猪价。而需求则存在较大的不确定性，受宏观经济影响，市场反映今年需求不及往年同期，这会抑制猪价上方空间。在这种情况下，我们持谨慎看多观点，建议投资者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再度走强，其中主产区与主销区均价均上涨0.06元/斤；期价高开低走，多数合约下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8658"/>
      <w:r>
        <w:rPr>
          <w:rFonts w:hint="eastAsia" w:ascii="楷体" w:hAnsi="楷体" w:eastAsia="楷体"/>
          <w:b/>
          <w:bCs/>
          <w:color w:val="000000" w:themeColor="text1"/>
          <w14:textFill>
            <w14:solidFill>
              <w14:schemeClr w14:val="tx1"/>
            </w14:solidFill>
          </w14:textFill>
        </w:rPr>
        <w:t>白糖：未能突破6000关口，白糖掉头下试</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ICE原糖11号主力合约上涨0.82%，伦敦白砂糖主力合约上涨0.56%，郑糖2501主力合约下跌0.70%。国内，尽管因台风天气产量下修，但整体仍是丰产预期。进口成本增加叠加旧作库存紧张的利多此前未能助力白糖向上突破大整数关口，短期内回落下试支撑。</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31937"/>
      <w:r>
        <w:rPr>
          <w:rFonts w:hint="eastAsia" w:ascii="楷体" w:hAnsi="楷体" w:eastAsia="楷体"/>
          <w:b/>
          <w:bCs/>
          <w:color w:val="000000" w:themeColor="text1"/>
          <w14:textFill>
            <w14:solidFill>
              <w14:schemeClr w14:val="tx1"/>
            </w14:solidFill>
          </w14:textFill>
        </w:rPr>
        <w:t>棉花：预计郑棉区间偏弱震荡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ICE美棉主力下跌0.56%，郑棉2501主力合约上涨0.47%。据巴西当地行业机构调查显示，截至10月10日，2023/24年度（对应USDA2024/25年度）巴西棉加工进度在63.7%。另据巴西国家商品供应公司（CONAB）预测来看，2024/25年度（对应USDA2025/26年度）巴西棉种植面积或将增至200万公顷，同比增幅约2.9%；单产预期或小幅下降至122公斤/亩；据此总产预期在366.5万吨，同比微幅减少。国内，下游纺织订单好转，成品库存降至往年同期，纺织利润也有所修复。但工商业库存数据同比偏高，金融市场整体表现也较为弱势，郑棉短期内转入震荡行情或回落。</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172"/>
      <w:r>
        <w:rPr>
          <w:rFonts w:hint="eastAsia" w:ascii="楷体" w:hAnsi="楷体" w:eastAsia="楷体"/>
          <w:b/>
          <w:bCs/>
          <w:color w:val="000000" w:themeColor="text1"/>
          <w14:textFill>
            <w14:solidFill>
              <w14:schemeClr w14:val="tx1"/>
            </w14:solidFill>
          </w14:textFill>
        </w:rPr>
        <w:t>蛋白粕：供应宽松叠加宏观情绪转弱，粕类大幅下跌</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涨幅1.02%，收盘价990美分/磅。国内夜盘豆二下跌1.95%，触及8月底以来新底，跟随美豆疲势，豆粕下跌1.94%；菜籽下跌0.80%，菜粕下跌2.53%，跌幅较大。巴西大豆产区迎来降雨，美豆产区干燥天气快速推进播种进度，油料供应充足，双粕受外盘拖累，加上国内宏观情绪回落导致商品大面积下跌，双粕跌幅较大。国内9月进口大豆超预期增加，上游大豆库存仍保持高位；需求方面，下游饲企豆粕库存仍保持低位，以刚需补库为主。菜粕更是进入消费淡季，此次破位下跌。国内蛋白粕库存进入季节性去库阶段，豆粕库存持续缩减，节后豆粕提货放量，预计震荡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8966"/>
      <w:r>
        <w:rPr>
          <w:rFonts w:hint="eastAsia" w:ascii="楷体" w:hAnsi="楷体" w:eastAsia="楷体"/>
          <w:b/>
          <w:bCs/>
          <w:color w:val="000000" w:themeColor="text1"/>
          <w14:textFill>
            <w14:solidFill>
              <w14:schemeClr w14:val="tx1"/>
            </w14:solidFill>
          </w14:textFill>
        </w:rPr>
        <w:t>油脂类：市场情绪回落，油脂高位震荡</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0.51%，菜油下跌0.93%，棕油下跌0.18%，马棕油上涨0.33%。国内豆菜油受油料端成本下行影响，国内需求淡季高库存压力不减。近期美国大选消息引导市场转向“特朗普交易”，美豆贸易保护政策倾向或引发菜系未来供应的较大不确定性。棕榈油方面，国内近月到港不多，现货报价坚挺。截止10月8日，港口库存为54.1万吨，在经历了连续4周的高位回落之后再次出现攀升。马棕油方面，9月产量下降出口增加支撑其前段时间期价上行，但马来国内消费疲软，库存仍在累积，期价高位震荡。</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3977"/>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196"/>
      <w:r>
        <w:rPr>
          <w:rFonts w:hint="eastAsia" w:ascii="Times New Roman" w:hAnsi="Times New Roman" w:eastAsia="楷体"/>
          <w:b/>
          <w:color w:val="000000" w:themeColor="text1"/>
          <w:sz w:val="24"/>
          <w:szCs w:val="24"/>
          <w14:textFill>
            <w14:solidFill>
              <w14:schemeClr w14:val="tx1"/>
            </w14:solidFill>
          </w14:textFill>
        </w:rPr>
        <w:t>集运指数（欧线）：欧央行降息25bp，主力期价小幅下跌</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3.79%至2735.9，02、04合约小幅上涨。10月剩余现舱40GP均价约3300美元；11月首周40GP现舱线上报价平均约4320美元。上海港今年1至9月完成集装箱吞吐量3910.2万标准箱，同比增8%，续创新高。MSC宣布11月1日起上调远东至西欧洲和地中海航线FAK费率至4500~5000美元/FEU。欧央行公布10月利率决议，将存款机制利率、主要再融资利率和边际贷款利率均下调25个基点，符合市场预期。后续仍需关注后续涨价落地情况，多空博弈期间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71212556"/>
      <w:bookmarkStart w:id="48" w:name="_Toc72481108"/>
      <w:bookmarkStart w:id="49" w:name="_Toc12779"/>
      <w:bookmarkStart w:id="50" w:name="_Toc19667"/>
      <w:bookmarkStart w:id="51" w:name="_Toc98426751"/>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2024年10月18日星期五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2024-10-18T02:16:30Z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