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2" w:name="_GoBack"/>
          <w:bookmarkEnd w:id="52"/>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_Toc16867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_Toc12712 </w:instrText>
          </w:r>
          <w:r>
            <w:rPr>
              <w:bCs/>
            </w:rPr>
            <w:fldChar w:fldCharType="separate"/>
          </w:r>
          <w:r>
            <w:rPr>
              <w:rFonts w:hint="eastAsia" w:ascii="Times New Roman" w:hAnsi="Times New Roman" w:eastAsia="楷体"/>
              <w:szCs w:val="24"/>
            </w:rPr>
            <w:t>股指：观望为主，待市场情绪回归平稳</w:t>
          </w:r>
          <w:r>
            <w:rPr>
              <w:bCs/>
            </w:rPr>
            <w:fldChar w:fldCharType="end"/>
          </w:r>
        </w:p>
        <w:p>
          <w:pPr>
            <w:pStyle w:val="59"/>
            <w:tabs>
              <w:tab w:val="right" w:leader="dot" w:pos="8306"/>
            </w:tabs>
          </w:pPr>
          <w:r>
            <w:rPr>
              <w:bCs/>
            </w:rPr>
            <w:fldChar w:fldCharType="begin"/>
          </w:r>
          <w:r>
            <w:rPr>
              <w:bCs/>
            </w:rPr>
            <w:instrText xml:space="preserve"> HYPERLINK \l _Toc10145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_Toc21001 </w:instrText>
          </w:r>
          <w:r>
            <w:rPr>
              <w:bCs/>
            </w:rPr>
            <w:fldChar w:fldCharType="separate"/>
          </w:r>
          <w:r>
            <w:rPr>
              <w:rFonts w:hint="eastAsia" w:ascii="Times New Roman" w:hAnsi="Times New Roman" w:eastAsia="楷体"/>
              <w:szCs w:val="24"/>
            </w:rPr>
            <w:t>贵金属：美联储官员发表鹰派观点，贵金属价格维持上涨</w:t>
          </w:r>
          <w:r>
            <w:rPr>
              <w:bCs/>
            </w:rPr>
            <w:fldChar w:fldCharType="end"/>
          </w:r>
        </w:p>
        <w:p>
          <w:pPr>
            <w:pStyle w:val="59"/>
            <w:tabs>
              <w:tab w:val="right" w:leader="dot" w:pos="8306"/>
            </w:tabs>
          </w:pPr>
          <w:r>
            <w:rPr>
              <w:bCs/>
            </w:rPr>
            <w:fldChar w:fldCharType="begin"/>
          </w:r>
          <w:r>
            <w:rPr>
              <w:bCs/>
            </w:rPr>
            <w:instrText xml:space="preserve"> HYPERLINK \l _Toc22853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_Toc28134 </w:instrText>
          </w:r>
          <w:r>
            <w:rPr>
              <w:bCs/>
            </w:rPr>
            <w:fldChar w:fldCharType="separate"/>
          </w:r>
          <w:r>
            <w:rPr>
              <w:rFonts w:hint="eastAsia" w:ascii="楷体" w:hAnsi="楷体" w:eastAsia="楷体"/>
              <w:szCs w:val="24"/>
            </w:rPr>
            <w:t>碳酸锂：9月锂矿进口环比减量，期价小幅收涨</w:t>
          </w:r>
          <w:r>
            <w:rPr>
              <w:bCs/>
            </w:rPr>
            <w:fldChar w:fldCharType="end"/>
          </w:r>
        </w:p>
        <w:p>
          <w:pPr>
            <w:pStyle w:val="74"/>
            <w:tabs>
              <w:tab w:val="right" w:leader="dot" w:pos="8306"/>
            </w:tabs>
          </w:pPr>
          <w:r>
            <w:rPr>
              <w:bCs/>
            </w:rPr>
            <w:fldChar w:fldCharType="begin"/>
          </w:r>
          <w:r>
            <w:rPr>
              <w:bCs/>
            </w:rPr>
            <w:instrText xml:space="preserve"> HYPERLINK \l _Toc14326 </w:instrText>
          </w:r>
          <w:r>
            <w:rPr>
              <w:bCs/>
            </w:rPr>
            <w:fldChar w:fldCharType="separate"/>
          </w:r>
          <w:r>
            <w:rPr>
              <w:rFonts w:hint="eastAsia" w:ascii="楷体" w:hAnsi="楷体" w:eastAsia="楷体"/>
              <w:szCs w:val="24"/>
            </w:rPr>
            <w:t>铝：铝价震荡调整</w:t>
          </w:r>
          <w:r>
            <w:rPr>
              <w:bCs/>
            </w:rPr>
            <w:fldChar w:fldCharType="end"/>
          </w:r>
        </w:p>
        <w:p>
          <w:pPr>
            <w:pStyle w:val="74"/>
            <w:tabs>
              <w:tab w:val="right" w:leader="dot" w:pos="8306"/>
            </w:tabs>
          </w:pPr>
          <w:r>
            <w:rPr>
              <w:bCs/>
            </w:rPr>
            <w:fldChar w:fldCharType="begin"/>
          </w:r>
          <w:r>
            <w:rPr>
              <w:bCs/>
            </w:rPr>
            <w:instrText xml:space="preserve"> HYPERLINK \l _Toc27938 </w:instrText>
          </w:r>
          <w:r>
            <w:rPr>
              <w:bCs/>
            </w:rPr>
            <w:fldChar w:fldCharType="separate"/>
          </w:r>
          <w:r>
            <w:rPr>
              <w:rFonts w:hint="eastAsia" w:ascii="楷体" w:hAnsi="楷体" w:eastAsia="楷体"/>
              <w:szCs w:val="24"/>
            </w:rPr>
            <w:t>锌：锌价高位窄幅震荡</w:t>
          </w:r>
          <w:r>
            <w:rPr>
              <w:bCs/>
            </w:rPr>
            <w:fldChar w:fldCharType="end"/>
          </w:r>
        </w:p>
        <w:p>
          <w:pPr>
            <w:pStyle w:val="74"/>
            <w:tabs>
              <w:tab w:val="right" w:leader="dot" w:pos="8306"/>
            </w:tabs>
          </w:pPr>
          <w:r>
            <w:rPr>
              <w:bCs/>
            </w:rPr>
            <w:fldChar w:fldCharType="begin"/>
          </w:r>
          <w:r>
            <w:rPr>
              <w:bCs/>
            </w:rPr>
            <w:instrText xml:space="preserve"> HYPERLINK \l _Toc20982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：区间震荡</w:t>
          </w:r>
          <w:r>
            <w:rPr>
              <w:bCs/>
            </w:rPr>
            <w:fldChar w:fldCharType="end"/>
          </w:r>
        </w:p>
        <w:p>
          <w:pPr>
            <w:pStyle w:val="74"/>
            <w:tabs>
              <w:tab w:val="right" w:leader="dot" w:pos="8306"/>
            </w:tabs>
          </w:pPr>
          <w:r>
            <w:rPr>
              <w:bCs/>
            </w:rPr>
            <w:fldChar w:fldCharType="begin"/>
          </w:r>
          <w:r>
            <w:rPr>
              <w:bCs/>
            </w:rPr>
            <w:instrText xml:space="preserve"> HYPERLINK \l _Toc6943 </w:instrText>
          </w:r>
          <w:r>
            <w:rPr>
              <w:bCs/>
            </w:rPr>
            <w:fldChar w:fldCharType="separate"/>
          </w:r>
          <w:r>
            <w:rPr>
              <w:rFonts w:hint="eastAsia" w:ascii="楷体" w:hAnsi="楷体" w:eastAsia="楷体"/>
              <w:szCs w:val="24"/>
            </w:rPr>
            <w:t>镍：维持偏空思路</w:t>
          </w:r>
          <w:r>
            <w:rPr>
              <w:bCs/>
            </w:rPr>
            <w:fldChar w:fldCharType="end"/>
          </w:r>
        </w:p>
        <w:p>
          <w:pPr>
            <w:pStyle w:val="74"/>
            <w:tabs>
              <w:tab w:val="right" w:leader="dot" w:pos="8306"/>
            </w:tabs>
          </w:pPr>
          <w:r>
            <w:rPr>
              <w:bCs/>
            </w:rPr>
            <w:fldChar w:fldCharType="begin"/>
          </w:r>
          <w:r>
            <w:rPr>
              <w:bCs/>
            </w:rPr>
            <w:instrText xml:space="preserve"> HYPERLINK \l _Toc2730 </w:instrText>
          </w:r>
          <w:r>
            <w:rPr>
              <w:bCs/>
            </w:rPr>
            <w:fldChar w:fldCharType="separate"/>
          </w:r>
          <w:r>
            <w:rPr>
              <w:rFonts w:hint="eastAsia" w:ascii="楷体" w:hAnsi="楷体" w:eastAsia="楷体"/>
              <w:szCs w:val="24"/>
            </w:rPr>
            <w:t>锡：高位震荡</w:t>
          </w:r>
          <w:r>
            <w:rPr>
              <w:bCs/>
            </w:rPr>
            <w:fldChar w:fldCharType="end"/>
          </w:r>
        </w:p>
        <w:p>
          <w:pPr>
            <w:pStyle w:val="74"/>
            <w:tabs>
              <w:tab w:val="right" w:leader="dot" w:pos="8306"/>
            </w:tabs>
          </w:pPr>
          <w:r>
            <w:rPr>
              <w:bCs/>
            </w:rPr>
            <w:fldChar w:fldCharType="begin"/>
          </w:r>
          <w:r>
            <w:rPr>
              <w:bCs/>
            </w:rPr>
            <w:instrText xml:space="preserve"> HYPERLINK \l _Toc1322 </w:instrText>
          </w:r>
          <w:r>
            <w:rPr>
              <w:bCs/>
            </w:rPr>
            <w:fldChar w:fldCharType="separate"/>
          </w:r>
          <w:r>
            <w:rPr>
              <w:rFonts w:hint="eastAsia" w:ascii="楷体" w:hAnsi="楷体" w:eastAsia="楷体"/>
              <w:szCs w:val="24"/>
            </w:rPr>
            <w:t>铅：需求难承接供应增量，铅价上方空间有限</w:t>
          </w:r>
          <w:r>
            <w:rPr>
              <w:bCs/>
            </w:rPr>
            <w:fldChar w:fldCharType="end"/>
          </w:r>
        </w:p>
        <w:p>
          <w:pPr>
            <w:pStyle w:val="74"/>
            <w:tabs>
              <w:tab w:val="right" w:leader="dot" w:pos="8306"/>
            </w:tabs>
          </w:pPr>
          <w:r>
            <w:rPr>
              <w:bCs/>
            </w:rPr>
            <w:fldChar w:fldCharType="begin"/>
          </w:r>
          <w:r>
            <w:rPr>
              <w:bCs/>
            </w:rPr>
            <w:instrText xml:space="preserve"> HYPERLINK \l _Toc31669 </w:instrText>
          </w:r>
          <w:r>
            <w:rPr>
              <w:bCs/>
            </w:rPr>
            <w:fldChar w:fldCharType="separate"/>
          </w:r>
          <w:r>
            <w:rPr>
              <w:rFonts w:hint="eastAsia" w:ascii="楷体" w:hAnsi="楷体" w:eastAsia="楷体"/>
              <w:szCs w:val="24"/>
            </w:rPr>
            <w:t>不锈钢：成本支撑但供需仍弱势，区间震荡为主</w:t>
          </w:r>
          <w:r>
            <w:rPr>
              <w:bCs/>
            </w:rPr>
            <w:fldChar w:fldCharType="end"/>
          </w:r>
        </w:p>
        <w:p>
          <w:pPr>
            <w:pStyle w:val="74"/>
            <w:tabs>
              <w:tab w:val="right" w:leader="dot" w:pos="8306"/>
            </w:tabs>
          </w:pPr>
          <w:r>
            <w:rPr>
              <w:bCs/>
            </w:rPr>
            <w:fldChar w:fldCharType="begin"/>
          </w:r>
          <w:r>
            <w:rPr>
              <w:bCs/>
            </w:rPr>
            <w:instrText xml:space="preserve"> HYPERLINK \l _Toc24993 </w:instrText>
          </w:r>
          <w:r>
            <w:rPr>
              <w:bCs/>
            </w:rPr>
            <w:fldChar w:fldCharType="separate"/>
          </w:r>
          <w:r>
            <w:rPr>
              <w:rFonts w:hint="eastAsia" w:ascii="楷体" w:hAnsi="楷体" w:eastAsia="楷体"/>
              <w:szCs w:val="24"/>
            </w:rPr>
            <w:t>工业硅：基本面改善预期有限，关注宏观情绪波动</w:t>
          </w:r>
          <w:r>
            <w:rPr>
              <w:bCs/>
            </w:rPr>
            <w:fldChar w:fldCharType="end"/>
          </w:r>
        </w:p>
        <w:p>
          <w:pPr>
            <w:pStyle w:val="74"/>
            <w:tabs>
              <w:tab w:val="right" w:leader="dot" w:pos="8306"/>
            </w:tabs>
          </w:pPr>
          <w:r>
            <w:rPr>
              <w:bCs/>
            </w:rPr>
            <w:fldChar w:fldCharType="begin"/>
          </w:r>
          <w:r>
            <w:rPr>
              <w:bCs/>
            </w:rPr>
            <w:instrText xml:space="preserve"> HYPERLINK \l _Toc8227 </w:instrText>
          </w:r>
          <w:r>
            <w:rPr>
              <w:bCs/>
            </w:rPr>
            <w:fldChar w:fldCharType="separate"/>
          </w:r>
          <w:r>
            <w:rPr>
              <w:rFonts w:hint="eastAsia" w:ascii="楷体" w:hAnsi="楷体" w:eastAsia="楷体"/>
              <w:szCs w:val="24"/>
            </w:rPr>
            <w:t>螺纹钢：宏观情绪转弱，盘面或震荡偏弱</w:t>
          </w:r>
          <w:r>
            <w:rPr>
              <w:bCs/>
            </w:rPr>
            <w:fldChar w:fldCharType="end"/>
          </w:r>
        </w:p>
        <w:p>
          <w:pPr>
            <w:pStyle w:val="59"/>
            <w:tabs>
              <w:tab w:val="right" w:leader="dot" w:pos="8306"/>
            </w:tabs>
          </w:pPr>
          <w:r>
            <w:rPr>
              <w:bCs/>
            </w:rPr>
            <w:fldChar w:fldCharType="begin"/>
          </w:r>
          <w:r>
            <w:rPr>
              <w:bCs/>
            </w:rPr>
            <w:instrText xml:space="preserve"> HYPERLINK \l _Toc27902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_Toc8631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主产区天气持续转好 天胶成本支撑减弱</w:t>
          </w:r>
          <w:r>
            <w:rPr>
              <w:bCs/>
            </w:rPr>
            <w:fldChar w:fldCharType="end"/>
          </w:r>
        </w:p>
        <w:p>
          <w:pPr>
            <w:pStyle w:val="74"/>
            <w:tabs>
              <w:tab w:val="right" w:leader="dot" w:pos="8306"/>
            </w:tabs>
          </w:pPr>
          <w:r>
            <w:rPr>
              <w:bCs/>
            </w:rPr>
            <w:fldChar w:fldCharType="begin"/>
          </w:r>
          <w:r>
            <w:rPr>
              <w:bCs/>
            </w:rPr>
            <w:instrText xml:space="preserve"> HYPERLINK \l _Toc21600 </w:instrText>
          </w:r>
          <w:r>
            <w:rPr>
              <w:bCs/>
            </w:rPr>
            <w:fldChar w:fldCharType="separate"/>
          </w:r>
          <w:r>
            <w:rPr>
              <w:rFonts w:hint="eastAsia" w:ascii="Times New Roman" w:hAnsi="Times New Roman" w:eastAsia="楷体"/>
              <w:szCs w:val="24"/>
            </w:rPr>
            <w:t>聚烯烃：旺季需求提振有限，聚烯烃随原油波动为主</w:t>
          </w:r>
          <w:r>
            <w:rPr>
              <w:bCs/>
            </w:rPr>
            <w:fldChar w:fldCharType="end"/>
          </w:r>
        </w:p>
        <w:p>
          <w:pPr>
            <w:pStyle w:val="74"/>
            <w:tabs>
              <w:tab w:val="right" w:leader="dot" w:pos="8306"/>
            </w:tabs>
          </w:pPr>
          <w:r>
            <w:rPr>
              <w:bCs/>
            </w:rPr>
            <w:fldChar w:fldCharType="begin"/>
          </w:r>
          <w:r>
            <w:rPr>
              <w:bCs/>
            </w:rPr>
            <w:instrText xml:space="preserve"> HYPERLINK \l _Toc8661 </w:instrText>
          </w:r>
          <w:r>
            <w:rPr>
              <w:bCs/>
            </w:rPr>
            <w:fldChar w:fldCharType="separate"/>
          </w:r>
          <w:r>
            <w:rPr>
              <w:rFonts w:hint="eastAsia" w:ascii="Times New Roman" w:hAnsi="Times New Roman" w:eastAsia="楷体"/>
              <w:szCs w:val="24"/>
            </w:rPr>
            <w:t>原油：飓风Francine助力，原油期货强势反弹</w:t>
          </w:r>
          <w:r>
            <w:rPr>
              <w:bCs/>
            </w:rPr>
            <w:fldChar w:fldCharType="end"/>
          </w:r>
        </w:p>
        <w:p>
          <w:pPr>
            <w:pStyle w:val="74"/>
            <w:tabs>
              <w:tab w:val="right" w:leader="dot" w:pos="8306"/>
            </w:tabs>
          </w:pPr>
          <w:r>
            <w:rPr>
              <w:bCs/>
            </w:rPr>
            <w:fldChar w:fldCharType="begin"/>
          </w:r>
          <w:r>
            <w:rPr>
              <w:bCs/>
            </w:rPr>
            <w:instrText xml:space="preserve"> HYPERLINK \l _Toc16726 </w:instrText>
          </w:r>
          <w:r>
            <w:rPr>
              <w:bCs/>
            </w:rPr>
            <w:fldChar w:fldCharType="separate"/>
          </w:r>
          <w:r>
            <w:rPr>
              <w:rFonts w:hint="eastAsia" w:ascii="Times New Roman" w:hAnsi="Times New Roman" w:eastAsia="楷体"/>
              <w:szCs w:val="24"/>
            </w:rPr>
            <w:t>燃料油及低硫燃料油：燃料油期货夜盘上扬，弱势格局待破局</w:t>
          </w:r>
          <w:r>
            <w:rPr>
              <w:bCs/>
            </w:rPr>
            <w:fldChar w:fldCharType="end"/>
          </w:r>
        </w:p>
        <w:p>
          <w:pPr>
            <w:pStyle w:val="74"/>
            <w:tabs>
              <w:tab w:val="right" w:leader="dot" w:pos="8306"/>
            </w:tabs>
          </w:pPr>
          <w:r>
            <w:rPr>
              <w:bCs/>
            </w:rPr>
            <w:fldChar w:fldCharType="begin"/>
          </w:r>
          <w:r>
            <w:rPr>
              <w:bCs/>
            </w:rPr>
            <w:instrText xml:space="preserve"> HYPERLINK \l _Toc25255 </w:instrText>
          </w:r>
          <w:r>
            <w:rPr>
              <w:bCs/>
            </w:rPr>
            <w:fldChar w:fldCharType="separate"/>
          </w:r>
          <w:r>
            <w:rPr>
              <w:rFonts w:hint="eastAsia" w:ascii="Times New Roman" w:hAnsi="Times New Roman" w:eastAsia="楷体"/>
              <w:szCs w:val="24"/>
            </w:rPr>
            <w:t>沥青：沥青期货价格上扬，弱稳格局待突破</w:t>
          </w:r>
          <w:r>
            <w:rPr>
              <w:bCs/>
            </w:rPr>
            <w:fldChar w:fldCharType="end"/>
          </w:r>
        </w:p>
        <w:p>
          <w:pPr>
            <w:pStyle w:val="74"/>
            <w:tabs>
              <w:tab w:val="right" w:leader="dot" w:pos="8306"/>
            </w:tabs>
          </w:pPr>
          <w:r>
            <w:rPr>
              <w:bCs/>
            </w:rPr>
            <w:fldChar w:fldCharType="begin"/>
          </w:r>
          <w:r>
            <w:rPr>
              <w:bCs/>
            </w:rPr>
            <w:instrText xml:space="preserve"> HYPERLINK \l _Toc30956 </w:instrText>
          </w:r>
          <w:r>
            <w:rPr>
              <w:bCs/>
            </w:rPr>
            <w:fldChar w:fldCharType="separate"/>
          </w:r>
          <w:r>
            <w:rPr>
              <w:rFonts w:hint="eastAsia" w:ascii="Times New Roman" w:hAnsi="Times New Roman" w:eastAsia="楷体"/>
              <w:szCs w:val="24"/>
            </w:rPr>
            <w:t>PTA：跟随宏观及成本端波动</w:t>
          </w:r>
          <w:r>
            <w:rPr>
              <w:bCs/>
            </w:rPr>
            <w:fldChar w:fldCharType="end"/>
          </w:r>
        </w:p>
        <w:p>
          <w:pPr>
            <w:pStyle w:val="74"/>
            <w:tabs>
              <w:tab w:val="right" w:leader="dot" w:pos="8306"/>
            </w:tabs>
          </w:pPr>
          <w:r>
            <w:rPr>
              <w:bCs/>
            </w:rPr>
            <w:fldChar w:fldCharType="begin"/>
          </w:r>
          <w:r>
            <w:rPr>
              <w:bCs/>
            </w:rPr>
            <w:instrText xml:space="preserve"> HYPERLINK \l _Toc6756 </w:instrText>
          </w:r>
          <w:r>
            <w:rPr>
              <w:bCs/>
            </w:rPr>
            <w:fldChar w:fldCharType="separate"/>
          </w:r>
          <w:r>
            <w:rPr>
              <w:rFonts w:hint="eastAsia" w:ascii="Times New Roman" w:hAnsi="Times New Roman" w:eastAsia="楷体"/>
              <w:szCs w:val="24"/>
            </w:rPr>
            <w:t>乙二醇：开工回升叠加库存小累 震荡偏弱</w:t>
          </w:r>
          <w:r>
            <w:rPr>
              <w:bCs/>
            </w:rPr>
            <w:fldChar w:fldCharType="end"/>
          </w:r>
        </w:p>
        <w:p>
          <w:pPr>
            <w:pStyle w:val="59"/>
            <w:tabs>
              <w:tab w:val="right" w:leader="dot" w:pos="8306"/>
            </w:tabs>
          </w:pPr>
          <w:r>
            <w:rPr>
              <w:bCs/>
            </w:rPr>
            <w:fldChar w:fldCharType="begin"/>
          </w:r>
          <w:r>
            <w:rPr>
              <w:bCs/>
            </w:rPr>
            <w:instrText xml:space="preserve"> HYPERLINK \l _Toc20565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_Toc18922 </w:instrText>
          </w:r>
          <w:r>
            <w:rPr>
              <w:bCs/>
            </w:rPr>
            <w:fldChar w:fldCharType="separate"/>
          </w:r>
          <w:r>
            <w:rPr>
              <w:rFonts w:hint="eastAsia" w:ascii="楷体" w:hAnsi="楷体" w:eastAsia="楷体"/>
              <w:bCs/>
            </w:rPr>
            <w:t>玉米与淀粉：</w:t>
          </w:r>
          <w:r>
            <w:rPr>
              <w:rFonts w:hint="eastAsia" w:ascii="楷体" w:hAnsi="楷体" w:eastAsia="楷体"/>
            </w:rPr>
            <w:t>淀粉-玉米价差小幅走扩</w:t>
          </w:r>
          <w:r>
            <w:rPr>
              <w:bCs/>
            </w:rPr>
            <w:fldChar w:fldCharType="end"/>
          </w:r>
        </w:p>
        <w:p>
          <w:pPr>
            <w:pStyle w:val="74"/>
            <w:tabs>
              <w:tab w:val="right" w:leader="dot" w:pos="8306"/>
            </w:tabs>
          </w:pPr>
          <w:r>
            <w:rPr>
              <w:bCs/>
            </w:rPr>
            <w:fldChar w:fldCharType="begin"/>
          </w:r>
          <w:r>
            <w:rPr>
              <w:bCs/>
            </w:rPr>
            <w:instrText xml:space="preserve"> HYPERLINK \l _Toc2977 </w:instrText>
          </w:r>
          <w:r>
            <w:rPr>
              <w:bCs/>
            </w:rPr>
            <w:fldChar w:fldCharType="separate"/>
          </w:r>
          <w:r>
            <w:rPr>
              <w:rFonts w:hint="eastAsia" w:ascii="楷体" w:hAnsi="楷体" w:eastAsia="楷体"/>
              <w:bCs/>
            </w:rPr>
            <w:t>畜禽养殖：生猪近月期价继续上涨</w:t>
          </w:r>
          <w:r>
            <w:rPr>
              <w:bCs/>
            </w:rPr>
            <w:fldChar w:fldCharType="end"/>
          </w:r>
        </w:p>
        <w:p>
          <w:pPr>
            <w:pStyle w:val="74"/>
            <w:tabs>
              <w:tab w:val="right" w:leader="dot" w:pos="8306"/>
            </w:tabs>
          </w:pPr>
          <w:r>
            <w:rPr>
              <w:bCs/>
            </w:rPr>
            <w:fldChar w:fldCharType="begin"/>
          </w:r>
          <w:r>
            <w:rPr>
              <w:bCs/>
            </w:rPr>
            <w:instrText xml:space="preserve"> HYPERLINK \l _Toc30984 </w:instrText>
          </w:r>
          <w:r>
            <w:rPr>
              <w:bCs/>
            </w:rPr>
            <w:fldChar w:fldCharType="separate"/>
          </w:r>
          <w:r>
            <w:rPr>
              <w:rFonts w:hint="eastAsia" w:ascii="楷体" w:hAnsi="楷体" w:eastAsia="楷体"/>
              <w:bCs/>
            </w:rPr>
            <w:t>白糖：未能突破6000关口，白糖掉头下试支撑</w:t>
          </w:r>
          <w:r>
            <w:rPr>
              <w:bCs/>
            </w:rPr>
            <w:fldChar w:fldCharType="end"/>
          </w:r>
        </w:p>
        <w:p>
          <w:pPr>
            <w:pStyle w:val="74"/>
            <w:tabs>
              <w:tab w:val="right" w:leader="dot" w:pos="8306"/>
            </w:tabs>
          </w:pPr>
          <w:r>
            <w:rPr>
              <w:bCs/>
            </w:rPr>
            <w:fldChar w:fldCharType="begin"/>
          </w:r>
          <w:r>
            <w:rPr>
              <w:bCs/>
            </w:rPr>
            <w:instrText xml:space="preserve"> HYPERLINK \l _Toc8030 </w:instrText>
          </w:r>
          <w:r>
            <w:rPr>
              <w:bCs/>
            </w:rPr>
            <w:fldChar w:fldCharType="separate"/>
          </w:r>
          <w:r>
            <w:rPr>
              <w:rFonts w:hint="eastAsia" w:ascii="楷体" w:hAnsi="楷体" w:eastAsia="楷体"/>
              <w:bCs/>
            </w:rPr>
            <w:t>棉花：预计郑棉区间震荡</w:t>
          </w:r>
          <w:r>
            <w:rPr>
              <w:bCs/>
            </w:rPr>
            <w:fldChar w:fldCharType="end"/>
          </w:r>
        </w:p>
        <w:p>
          <w:pPr>
            <w:pStyle w:val="74"/>
            <w:tabs>
              <w:tab w:val="right" w:leader="dot" w:pos="8306"/>
            </w:tabs>
          </w:pPr>
          <w:r>
            <w:rPr>
              <w:bCs/>
            </w:rPr>
            <w:fldChar w:fldCharType="begin"/>
          </w:r>
          <w:r>
            <w:rPr>
              <w:bCs/>
            </w:rPr>
            <w:instrText xml:space="preserve"> HYPERLINK \l _Toc3623 </w:instrText>
          </w:r>
          <w:r>
            <w:rPr>
              <w:bCs/>
            </w:rPr>
            <w:fldChar w:fldCharType="separate"/>
          </w:r>
          <w:r>
            <w:rPr>
              <w:rFonts w:hint="eastAsia" w:ascii="楷体" w:hAnsi="楷体" w:eastAsia="楷体"/>
              <w:bCs/>
            </w:rPr>
            <w:t>蛋白粕：巴西豆出口数据较好，内盘跟涨</w:t>
          </w:r>
          <w:r>
            <w:rPr>
              <w:bCs/>
            </w:rPr>
            <w:fldChar w:fldCharType="end"/>
          </w:r>
        </w:p>
        <w:p>
          <w:pPr>
            <w:pStyle w:val="74"/>
            <w:tabs>
              <w:tab w:val="right" w:leader="dot" w:pos="8306"/>
            </w:tabs>
          </w:pPr>
          <w:r>
            <w:rPr>
              <w:bCs/>
            </w:rPr>
            <w:fldChar w:fldCharType="begin"/>
          </w:r>
          <w:r>
            <w:rPr>
              <w:bCs/>
            </w:rPr>
            <w:instrText xml:space="preserve"> HYPERLINK \l _Toc21533 </w:instrText>
          </w:r>
          <w:r>
            <w:rPr>
              <w:bCs/>
            </w:rPr>
            <w:fldChar w:fldCharType="separate"/>
          </w:r>
          <w:r>
            <w:rPr>
              <w:rFonts w:hint="eastAsia" w:ascii="楷体" w:hAnsi="楷体" w:eastAsia="楷体"/>
              <w:bCs/>
            </w:rPr>
            <w:t>油脂类：马来和印尼消息面为棕油提供支撑，带动豆菜油上涨</w:t>
          </w:r>
          <w:r>
            <w:rPr>
              <w:bCs/>
            </w:rPr>
            <w:fldChar w:fldCharType="end"/>
          </w:r>
        </w:p>
        <w:p>
          <w:pPr>
            <w:pStyle w:val="59"/>
            <w:tabs>
              <w:tab w:val="right" w:leader="dot" w:pos="8306"/>
            </w:tabs>
          </w:pPr>
          <w:r>
            <w:rPr>
              <w:bCs/>
            </w:rPr>
            <w:fldChar w:fldCharType="begin"/>
          </w:r>
          <w:r>
            <w:rPr>
              <w:bCs/>
            </w:rPr>
            <w:instrText xml:space="preserve"> HYPERLINK \l _Toc25654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_Toc810 </w:instrText>
          </w:r>
          <w:r>
            <w:rPr>
              <w:bCs/>
            </w:rPr>
            <w:fldChar w:fldCharType="separate"/>
          </w:r>
          <w:r>
            <w:rPr>
              <w:rFonts w:hint="eastAsia" w:ascii="Times New Roman" w:hAnsi="Times New Roman" w:eastAsia="楷体"/>
              <w:szCs w:val="24"/>
            </w:rPr>
            <w:t>集运指数（欧线）：马士基上调旺季附加费，主力期价略微收跌</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16867"/>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12712"/>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观望为主，待市场情绪回归平稳</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节后政策预期差变化，A股回归存量博弈，同时美国9月非农就业和通胀超预期，地缘政治风险升温，美国大选存变数，美元指数反弹，带动近期人民币汇率偏弱，短期给市场带来一定调整压力，短线观望为主，等待市场情绪回归平稳。</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0145"/>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1001"/>
      <w:r>
        <w:rPr>
          <w:rFonts w:hint="eastAsia" w:ascii="Times New Roman" w:hAnsi="Times New Roman" w:eastAsia="楷体"/>
          <w:b/>
          <w:color w:val="000000" w:themeColor="text1"/>
          <w:sz w:val="24"/>
          <w:szCs w:val="24"/>
          <w14:textFill>
            <w14:solidFill>
              <w14:schemeClr w14:val="tx1"/>
            </w14:solidFill>
          </w14:textFill>
        </w:rPr>
        <w:t>贵金属：美联储官员发表鹰派观点，贵金属价格维持上涨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0.58%至628.92；沪银涨1.25%至8402元/千克。近日多位美联储官员表态偏向鹰派，传递渐进式降息的信号。美联储施密德表示，偏好相对激进的缩表策略；美联储对2%通胀目标有非常强烈的承诺；美联储并不过于关注预期中的冲击；倾向于放慢降息步伐。 美联储卡什卡利重申，他倾向于在未来几个季度放慢降息步伐；他支持美联储9月幅度大于常规的降息，但预计未来会议的降息幅度较小。美联储戴利表示，支持9月降息50个基点；将根据数据决定美联储11月利率决议；到目前为止，尚未看到任何迹象表明不会继续降息；不希望看到劳动力市场进一步放缓。近期特朗普支持率上升，美国大选临近以及地缘政治冲突风险等仍将提振避险情绪，沪金续创新高后上方空间打开，贵金属价格或偏强运行。</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22853"/>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8134"/>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碳酸锂：9月锂矿进口环比减量，期价小幅收涨</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低开后震荡上行，01合约收涨0.61%至73750元/吨。海关数据显示，9月国内锂矿石进口总量约35.36万吨，环比减28.62%，同比减29.12%，进口均价约713.54美元/吨。其中，从澳大利亚进口约20.81万吨，环比减31.9%，占比58.9%；从津巴布韦进口约8.07万吨，环比减39.6%，占比22.8%。据广期所业务细则，下周一起，11合约非期货公司会员、境外特殊非经纪参与者、客户持仓限额降低至1000手，建议相关持仓择机换月展期。下游需求维持相对乐观，但近期盘面或仍反映对中期供需维持略微过剩格局的预期，期价区间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14326"/>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铝价震荡调整</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民众对未来经济表现态度偏悲观，美国CPI数据超预期，市场对美联储11月会议利率公布预测将下调25个基点，美元指数近期强势，国内消费情绪改善，国家近期陆续推出一揽子针对性增量政策，宏观情绪近期反复。几内亚雨季逐步进入尾声，但当地矿产出港量依旧保持低位，国内矿产复产进度缓慢，另有阿联酋环球铝业几内亚子公司出口被关停消息刺激，铝土矿供应紧张格局延续，氧化铝流通现货稀缺，现货价向期货盘面收敛，对电解铝成本形成较强支撑，下游电解铝开产产能保持高位，进入四季度枯水期但预计受影响产能较少，下游企业加工情况明显改善，铸锭库存、铝棒库存去库，对外出口消费走弱。</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宏观情绪近期对盘面影响走弱，回归基本面，供给端提供强支撑，国内下游需求改善但出口消费走弱，库存去库，铝价在成本强，供多需改善的情况下仍趋势看多。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7938"/>
      <w:r>
        <w:rPr>
          <w:rFonts w:hint="eastAsia" w:ascii="楷体" w:hAnsi="楷体" w:eastAsia="楷体"/>
          <w:b/>
          <w:color w:val="000000" w:themeColor="text1"/>
          <w:sz w:val="24"/>
          <w:szCs w:val="24"/>
          <w14:textFill>
            <w14:solidFill>
              <w14:schemeClr w14:val="tx1"/>
            </w14:solidFill>
          </w14:textFill>
        </w:rPr>
        <w:t>锌：锌价高位窄幅震荡</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降息步伐预期放缓，国内经济政策工具箱打开，政策利好持续释放，宏观情绪反复拉扯。矿TC加工费反弹乏力，澳洲century发生山火加紧矿供应预期，原料紧缺仍为锌市供应难题，短期进口矿补充难以缓解炼厂原料压力，锌矿-精炼锌利润倒挂，炼厂生产积极性较低，但9月精炼锌产量略有提增，受宏观情绪推动沪锌期货价格攀至高位，实际下游接受度较差，钢厂基本面压力大，旺季不旺拖累镀锌需求，锌合金及氧化锌消费未有超预期表现，库存低位小幅累积。基本面供需两弱，锌价高位市场接受度较低，锌价上行动力缺缺，关注25500压力位置。</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0982"/>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：区间震荡</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(1)库存：10月22日，SHFE仓单库存59330吨，减1371吨；LME仓单库存280100吨，减2100吨。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(2)精废价差：10月22日，Mysteel精废价差1076，收窄340。目前价差在合理价差1467之下。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国大选不确定性和降息预期降温，美元继续升至两个半月新高，10年期美债收益率徘徊7月底来最高，整体有色承压运行。基本面，国庆后库存持续累增，现货维持贴水，但10-11月冶炼端扰动加大，精铜产量环比或继续走低，将缓解库存压力。整体而言，当前铜供需矛盾不大对价格影响相对有限，短期价格更多受宏观情绪波动，国内政策持续拖底提供支撑，强势美元压制短期价格上行空间，偏震荡为主，参考7.6-7.9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6943"/>
      <w:r>
        <w:rPr>
          <w:rFonts w:hint="eastAsia" w:ascii="楷体" w:hAnsi="楷体" w:eastAsia="楷体"/>
          <w:b/>
          <w:color w:val="000000" w:themeColor="text1"/>
          <w:sz w:val="24"/>
          <w:szCs w:val="24"/>
          <w14:textFill>
            <w14:solidFill>
              <w14:schemeClr w14:val="tx1"/>
            </w14:solidFill>
          </w14:textFill>
        </w:rPr>
        <w:t>镍：维持偏空思路</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镍矿方面，当前印尼中高品味镍矿内贸升水维持在22美元/湿吨左右，不过Eramet与青山集团的合资镍矿山 PT Weda Bay Nickel再次通过1600万吨镍矿配额，说明印尼镍矿RKAB进度或加快，印尼镍矿供应紧张状况或缓解，密切关注印尼镍矿价格变动。供需方面，精炼镍供需情况乏善可陈，三元材料产业链处于去库周期，镍过剩格局延续，海内外库存趋势性累库。综合而言，镍基本面未有起色，加上印尼大型矿山获批镍矿配额量增加，镍价反弹空间受限，关注沽空机会。</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730"/>
      <w:r>
        <w:rPr>
          <w:rFonts w:hint="eastAsia" w:ascii="楷体" w:hAnsi="楷体" w:eastAsia="楷体"/>
          <w:b/>
          <w:color w:val="000000" w:themeColor="text1"/>
          <w:sz w:val="24"/>
          <w:szCs w:val="24"/>
          <w14:textFill>
            <w14:solidFill>
              <w14:schemeClr w14:val="tx1"/>
            </w14:solidFill>
          </w14:textFill>
        </w:rPr>
        <w:t>锡：高位震荡</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元指数延续强势压制整体有色，上周国内锡社库小增，库存水平与去年接近。市场关注佤邦消息，通知显示办证缴费针对当地所有矿种，目前仍没有围绕锡采矿复工的确定性消息，不过情绪上有些波动，即使缅甸佤邦宣布复产，从发布复产通知到正式开始生产预计还需要1-3个月准备时间，预计实际供应量可能要到明年才能贡献。国内冶炼厂加工费低位运行凸显原料供应偏紧，对价格仍有底部支撑，短期上下驱动有限，高位震荡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322"/>
      <w:r>
        <w:rPr>
          <w:rFonts w:hint="eastAsia" w:ascii="楷体" w:hAnsi="楷体" w:eastAsia="楷体"/>
          <w:b/>
          <w:color w:val="000000" w:themeColor="text1"/>
          <w:sz w:val="24"/>
          <w:szCs w:val="24"/>
          <w14:textFill>
            <w14:solidFill>
              <w14:schemeClr w14:val="tx1"/>
            </w14:solidFill>
          </w14:textFill>
        </w:rPr>
        <w:t>铅：需求难承接供应增量，铅价上方空间有限</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废电瓶方面，近期废电瓶到货量增加，再生铅炼企库存处于安全水平。原生铅方面，炼企普遍恢复生产，加之青海西豫20万吨产能已投产，原生铅供应趋增。再生铅方面，受利润浮亏及安徽环保检查的影响，再生铅复产节奏放缓，不过整体而言再生铅供应将呈现增量。需求方面，受以旧换新等政策影响，下游需求有边际改善，但铅市消费已逐渐步入传统淡季，预计消费难以承接供应增量。库存方面，截止10月21日，全国主要市场铅锭社会库存为6.98万吨，较10月17日减少1.3万吨，较10月14日减少0.64万吨。综合而言，社库转为去库，但供应端逐步复产，而消费预计难以承接供应增量，铅价上方空间有限。</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31669"/>
      <w:r>
        <w:rPr>
          <w:rFonts w:hint="eastAsia" w:ascii="楷体" w:hAnsi="楷体" w:eastAsia="楷体"/>
          <w:b/>
          <w:color w:val="000000" w:themeColor="text1"/>
          <w:sz w:val="24"/>
          <w:szCs w:val="24"/>
          <w14:textFill>
            <w14:solidFill>
              <w14:schemeClr w14:val="tx1"/>
            </w14:solidFill>
          </w14:textFill>
        </w:rPr>
        <w:t>不锈钢：成本支撑但供需仍弱势，区间震荡为主</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镍矿方面，当前印尼中高品味镍矿内贸升水维持在22美元/湿吨左右，不过近期Eramet与青山集团的合资镍矿山 PT Weda Bay Nickel再次通过1600万吨镍矿配额，说明印尼镍矿RKAB进度或加快。镍铁方面，青山最新招标价格1050元/镍（到厂含税），交期11月，不锈钢成本支撑上移，但若印尼镍矿供应释放，将利空镍铁价格。供需方面，不锈钢厂排产仍处于高位水平，下游补库力度有限，社会库存小幅累库。综合而言，镍铁价格走强对不锈钢价格形成支撑，但供应高排产而下游补库有限，社会库存转为小幅累积，印尼镍矿供应紧张状况预期缓解，不锈钢价格区间震荡为主，主力运行区间参考13200-14200，价格上破驱动需要看到宏观刺激或明显去库。</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24993"/>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基本面改善预期有限，关注宏观情绪波动</w:t>
      </w:r>
      <w:bookmarkEnd w:id="27"/>
    </w:p>
    <w:p>
      <w:pPr>
        <w:ind w:left="630" w:leftChars="300"/>
        <w:rPr>
          <w:rFonts w:ascii="楷体" w:hAnsi="楷体" w:eastAsia="楷体"/>
          <w:sz w:val="24"/>
          <w:szCs w:val="24"/>
        </w:rPr>
      </w:pPr>
      <w:r>
        <w:rPr>
          <w:rFonts w:hint="eastAsia" w:ascii="楷体" w:hAnsi="楷体" w:eastAsia="楷体"/>
          <w:sz w:val="24"/>
          <w:szCs w:val="24"/>
        </w:rPr>
        <w:t>10月22日，Si2412主力合约呈反弹走势，收盘价12730元/吨，较上一收盘价涨跌幅+1.92%。西南即将进入枯水期存在减产预期，北方存在新增产能投放预期，呈现南减北增格局，而需求端暂未明显起色，基本面改善预期相对有限，叠加临近仓单集中注销，反弹压力仍存，维持底部震荡观点，主力合约参考区间（12100，13000），后续交易重点宏观情绪波动与仓单注销节奏。策略上，维持波段操作思路。</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8227"/>
      <w:r>
        <w:rPr>
          <w:rFonts w:hint="eastAsia" w:ascii="楷体" w:hAnsi="楷体" w:eastAsia="楷体"/>
          <w:b/>
          <w:color w:val="000000" w:themeColor="text1"/>
          <w:sz w:val="24"/>
          <w:szCs w:val="24"/>
          <w14:textFill>
            <w14:solidFill>
              <w14:schemeClr w14:val="tx1"/>
            </w14:solidFill>
          </w14:textFill>
        </w:rPr>
        <w:t>螺纹钢：宏观情绪转弱，盘面或震荡偏弱</w:t>
      </w:r>
      <w:bookmarkEnd w:id="28"/>
    </w:p>
    <w:p>
      <w:pPr>
        <w:ind w:left="630" w:leftChars="300"/>
        <w:rPr>
          <w:rFonts w:ascii="楷体" w:hAnsi="楷体" w:eastAsia="楷体"/>
          <w:sz w:val="24"/>
          <w:szCs w:val="24"/>
        </w:rPr>
      </w:pPr>
      <w:r>
        <w:rPr>
          <w:rFonts w:hint="eastAsia" w:ascii="楷体" w:hAnsi="楷体" w:eastAsia="楷体"/>
          <w:sz w:val="24"/>
          <w:szCs w:val="24"/>
        </w:rPr>
        <w:t>从宏观面来看，上周住建部等五部门召开发布会，更多是对之前政策的延续，增量的政策低于市场预期，使得宏观情绪再度转弱。从基本面来看，目前钢厂产量增长，但市场需求有所走弱，昨日国内钢材市场价格跌幅扩大，唐山普方坯出厂下跌20报3080元/吨，表明供需压力逐步加大，节奏上终端采购进度放缓，市场成交表现偏弱。整体来看，在宏观情绪再度转弱背景下，叠加基本面也有所转弱，预计后续将震荡偏弱运行。</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27902"/>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8631"/>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主产区天气持续转好 天胶成本支撑减弱</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从泰国宋卡地区的最新报价来看，目前各品类胶价假期整体出现回落。伴随后续天气好转，原料价格支撑或有所松动。库存方面，本周青岛港口小幅累库。下游需求方面，全钢轮胎检修企业数量及检修天数同比去年均明显增加，半钢轮胎检修企业数量及总减损情况同比去年有所减少。全钢轮胎企业多受困于高成本、低需求和库存压力而选择停产检修，半钢轮胎企业则得益于出口市场的强劲支撑和合理的库存水平而维持开工高景气。整体看，尽管四季度橡胶在基本面供小于求的支撑下以偏多头思路看待，但仍需持续关注东南亚主产区短期降水问题有出现缓和迹象，以及全钢胎阶段性需求较差的问题，短期不排除原料价格回落、制约胶价表现。</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21600"/>
      <w:r>
        <w:rPr>
          <w:rFonts w:hint="eastAsia" w:ascii="Times New Roman" w:hAnsi="Times New Roman" w:eastAsia="楷体"/>
          <w:b/>
          <w:color w:val="000000" w:themeColor="text1"/>
          <w:sz w:val="24"/>
          <w:szCs w:val="24"/>
          <w14:textFill>
            <w14:solidFill>
              <w14:schemeClr w14:val="tx1"/>
            </w14:solidFill>
          </w14:textFill>
        </w:rPr>
        <w:t>聚烯烃：旺季需求提振有限，聚烯烃随原油波动为主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受原油需求下降影响，国际油价大幅走低，聚烯烃成本支撑走弱，盘面震荡走低。福建联合、中韩石化等石化厂进入计划检修期，现阶段检修装置较多，PE开工率降低至偏低水平，PP开工率下降，其中PDH制PP开工率仍处于中下水平。预计未来开工率将回升，同时新装置中石化英力士有开车可能性，PE进口窗口打开，内外盘供应均有增量预期。下游需求旺季，终端刚需较好，但下游工厂延续刚需采购，上游生产企业去库较慢。短期预计聚烯烃区间整理。</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8661"/>
      <w:r>
        <w:rPr>
          <w:rFonts w:hint="eastAsia" w:ascii="Times New Roman" w:hAnsi="Times New Roman" w:eastAsia="楷体"/>
          <w:b/>
          <w:color w:val="000000" w:themeColor="text1"/>
          <w:sz w:val="24"/>
          <w:szCs w:val="24"/>
          <w14:textFill>
            <w14:solidFill>
              <w14:schemeClr w14:val="tx1"/>
            </w14:solidFill>
          </w14:textFill>
        </w:rPr>
        <w:t>原油：飓风Francine助力，原油期货强势反弹</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WTI原油主力合约强劲反弹大涨2.67%，收报69.18美元/桶；布伦特原油主力合约大涨2.02%，报72.15美元/桶；中国原油期货SC主力合约夜盘大涨2.31%，报514.5元/桶。</w:t>
      </w:r>
    </w:p>
    <w:p>
      <w:pPr>
        <w:ind w:left="630" w:leftChars="300"/>
        <w:rPr>
          <w:rFonts w:hint="eastAsia" w:ascii="楷体" w:hAnsi="楷体" w:eastAsia="楷体"/>
          <w:sz w:val="24"/>
          <w:szCs w:val="24"/>
        </w:rPr>
      </w:pPr>
      <w:r>
        <w:rPr>
          <w:rFonts w:hint="eastAsia" w:ascii="楷体" w:hAnsi="楷体" w:eastAsia="楷体"/>
          <w:sz w:val="24"/>
          <w:szCs w:val="24"/>
        </w:rPr>
        <w:t>受飓风Francine影响，美国作为全球最大的原油消费国面临供应中断的风险，这促使原油期货价格出现强劲反弹。随着飓风登陆并向内陆推进，墨西哥湾地区首当其冲，美国国家飓风中心已发布预警，路易斯安那州和密西西比州也进入了紧急状态。根据美国安全与环境执法局的报告，飓风导致墨西哥湾大约42%的原油生产设施和53%的天然气设施暂停运作。</w:t>
      </w:r>
    </w:p>
    <w:p>
      <w:pPr>
        <w:ind w:left="630" w:leftChars="300"/>
        <w:rPr>
          <w:rFonts w:hint="eastAsia" w:ascii="楷体" w:hAnsi="楷体" w:eastAsia="楷体"/>
          <w:sz w:val="24"/>
          <w:szCs w:val="24"/>
        </w:rPr>
      </w:pPr>
      <w:r>
        <w:rPr>
          <w:rFonts w:hint="eastAsia" w:ascii="楷体" w:hAnsi="楷体" w:eastAsia="楷体"/>
          <w:sz w:val="24"/>
          <w:szCs w:val="24"/>
        </w:rPr>
        <w:t>然而，国际能源署（IEA）最新发布的月度报告揭示了一个不同的图景。报告指出，全球石油需求增长正在显著放缓，导致油价触及三年来的低点。2024年上半年全球石油消费量预计仅增加90.3万桶/日，远低于2023年同期的增长速度。此外，IEA还下调了2024年的全球石油需求增长预期，预计若欧佩克+继续按计划逐步恢复产量，2025年或将出现供应过剩的情况。</w:t>
      </w:r>
    </w:p>
    <w:p>
      <w:pPr>
        <w:ind w:left="630" w:leftChars="300"/>
        <w:rPr>
          <w:rFonts w:hint="eastAsia" w:ascii="楷体" w:hAnsi="楷体" w:eastAsia="楷体"/>
          <w:sz w:val="24"/>
          <w:szCs w:val="24"/>
        </w:rPr>
      </w:pPr>
      <w:r>
        <w:rPr>
          <w:rFonts w:hint="eastAsia" w:ascii="楷体" w:hAnsi="楷体" w:eastAsia="楷体"/>
          <w:sz w:val="24"/>
          <w:szCs w:val="24"/>
        </w:rPr>
        <w:t>技术面显示，原油价格经历了快速下跌后，市场出现了一定程度的超卖，因此引发了此次反弹。尽管此次反弹较为强劲，已经收复了本周的部分跌幅，但从中期角度来看，下跌趋势仍未改变。未来几日，市场参与者需持续关注飓风对供应的实际影响，以及IEA报告中提到的需求放缓是否会在短期内给油价带来进一步压力。WTI原油主力合约虽有所反弹但短期仍看淡，2023年低点63.64美元/桶为短期的强支撑；布伦特原油主力合约，68.20美元/桶为2023年低点为短期重要支撑；国内原油期货主力合约SC2410价格，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4" w:name="_Toc16726"/>
      <w:r>
        <w:rPr>
          <w:rFonts w:hint="eastAsia" w:ascii="Times New Roman" w:hAnsi="Times New Roman" w:eastAsia="楷体"/>
          <w:b/>
          <w:color w:val="000000" w:themeColor="text1"/>
          <w:sz w:val="24"/>
          <w:szCs w:val="24"/>
          <w14:textFill>
            <w14:solidFill>
              <w14:schemeClr w14:val="tx1"/>
            </w14:solidFill>
          </w14:textFill>
        </w:rPr>
        <w:t>燃料油及低硫燃料油：燃料油期货夜盘上扬，弱势格局待破局</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燃料油主力合约夜盘上涨1.89%，报2797元/吨；低硫燃料油主力合约夜盘上涨1.04%，报3899元/吨；价差为1102元/吨。</w:t>
      </w:r>
    </w:p>
    <w:p>
      <w:pPr>
        <w:ind w:left="630" w:leftChars="300"/>
        <w:rPr>
          <w:rFonts w:hint="eastAsia" w:ascii="楷体" w:hAnsi="楷体" w:eastAsia="楷体"/>
          <w:sz w:val="24"/>
          <w:szCs w:val="24"/>
        </w:rPr>
      </w:pPr>
      <w:r>
        <w:rPr>
          <w:rFonts w:hint="eastAsia" w:ascii="楷体" w:hAnsi="楷体" w:eastAsia="楷体"/>
          <w:sz w:val="24"/>
          <w:szCs w:val="24"/>
        </w:rPr>
        <w:t>近期，汽柴产销表现不佳，燃料油市场缺乏明确的利好消息，导致业者操作心态趋于观望，下游采购保持谨慎，刚需为主，炼厂出货因此受阻。预计今日市场交投将继续以弱盘整理为主。</w:t>
      </w:r>
    </w:p>
    <w:p>
      <w:pPr>
        <w:ind w:left="630" w:leftChars="300"/>
        <w:rPr>
          <w:rFonts w:hint="eastAsia" w:ascii="楷体" w:hAnsi="楷体" w:eastAsia="楷体"/>
          <w:sz w:val="24"/>
          <w:szCs w:val="24"/>
        </w:rPr>
      </w:pPr>
      <w:r>
        <w:rPr>
          <w:rFonts w:hint="eastAsia" w:ascii="楷体" w:hAnsi="楷体" w:eastAsia="楷体"/>
          <w:sz w:val="24"/>
          <w:szCs w:val="24"/>
        </w:rPr>
        <w:t>从产能利用情况来看，本周主营炼厂常减压产能利用率为77.48%，环比微降，同比跌幅达5.64%，显示出加工量仍未恢复至去年同期水平。</w:t>
      </w:r>
    </w:p>
    <w:p>
      <w:pPr>
        <w:ind w:left="630" w:leftChars="300"/>
        <w:rPr>
          <w:rFonts w:hint="eastAsia" w:ascii="楷体" w:hAnsi="楷体" w:eastAsia="楷体"/>
          <w:sz w:val="24"/>
          <w:szCs w:val="24"/>
        </w:rPr>
      </w:pPr>
      <w:r>
        <w:rPr>
          <w:rFonts w:hint="eastAsia" w:ascii="楷体" w:hAnsi="楷体" w:eastAsia="楷体"/>
          <w:sz w:val="24"/>
          <w:szCs w:val="24"/>
        </w:rPr>
        <w:t>亚洲燃料油现货市场方面，尽管低硫燃料油供应预期增加，但高硫燃料油库存充裕，对价格上行构成压力。新加坡现货市场上，高硫燃料油交易冷清，而超低硫燃料油则有一笔成交。此外，新加坡各类燃料油库存均出现下降，但整体仍处于相对高位。</w:t>
      </w:r>
    </w:p>
    <w:p>
      <w:pPr>
        <w:ind w:left="630" w:leftChars="300"/>
        <w:rPr>
          <w:rFonts w:hint="eastAsia" w:ascii="楷体" w:hAnsi="楷体" w:eastAsia="楷体"/>
          <w:sz w:val="24"/>
          <w:szCs w:val="24"/>
        </w:rPr>
      </w:pPr>
      <w:r>
        <w:rPr>
          <w:rFonts w:hint="eastAsia" w:ascii="楷体" w:hAnsi="楷体" w:eastAsia="楷体"/>
          <w:sz w:val="24"/>
          <w:szCs w:val="24"/>
        </w:rPr>
        <w:t>燃料油期货价格整体上跟随了原油价格的反弹趋势，但由于原油价格仍处于中期下跌趋势之中，燃料油期货价格预计难以摆脱弱势格局。市场参与者需密切关注原油价格动向及其对燃料油市场的影响。</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25255"/>
      <w:r>
        <w:rPr>
          <w:rFonts w:hint="eastAsia" w:ascii="Times New Roman" w:hAnsi="Times New Roman" w:eastAsia="楷体"/>
          <w:b/>
          <w:color w:val="000000" w:themeColor="text1"/>
          <w:sz w:val="24"/>
          <w:szCs w:val="24"/>
          <w14:textFill>
            <w14:solidFill>
              <w14:schemeClr w14:val="tx1"/>
            </w14:solidFill>
          </w14:textFill>
        </w:rPr>
        <w:t>沥青：沥青期货价格上扬，弱稳格局待突破</w:t>
      </w:r>
      <w:bookmarkEnd w:id="35"/>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沥青期货主力合约BU2410上涨1.87%，收3111元/吨。</w:t>
      </w:r>
    </w:p>
    <w:p>
      <w:pPr>
        <w:ind w:left="630" w:leftChars="300"/>
        <w:rPr>
          <w:rFonts w:hint="eastAsia" w:ascii="楷体" w:hAnsi="楷体" w:eastAsia="楷体"/>
          <w:sz w:val="24"/>
          <w:szCs w:val="24"/>
        </w:rPr>
      </w:pPr>
      <w:r>
        <w:rPr>
          <w:rFonts w:hint="eastAsia" w:ascii="楷体" w:hAnsi="楷体" w:eastAsia="楷体"/>
          <w:sz w:val="24"/>
          <w:szCs w:val="24"/>
        </w:rPr>
        <w:t>当前，国内沥青市场呈现出弱稳运行的态势，均价为3634元/吨，较前一日微降2元/吨。本周，沥青产量出现显著下滑，周度总产量环比下降6.8%，同比降幅更是高达46.2%。这一趋势在1-9月份的累计产量中也得到了体现，同比减少近20.6%。</w:t>
      </w:r>
    </w:p>
    <w:p>
      <w:pPr>
        <w:ind w:left="630" w:leftChars="300"/>
        <w:rPr>
          <w:rFonts w:hint="eastAsia" w:ascii="楷体" w:hAnsi="楷体" w:eastAsia="楷体"/>
          <w:sz w:val="24"/>
          <w:szCs w:val="24"/>
        </w:rPr>
      </w:pPr>
      <w:r>
        <w:rPr>
          <w:rFonts w:hint="eastAsia" w:ascii="楷体" w:hAnsi="楷体" w:eastAsia="楷体"/>
          <w:sz w:val="24"/>
          <w:szCs w:val="24"/>
        </w:rPr>
        <w:t>库存方面，截至9月12日，国内沥青社会库存和厂库库存均呈现去库态势。社会库存较周一减少2.9%，其中华东地区去库明显，主要得益于业者优先消耗社会库存以及出口船发的良好表现。厂库库存则减少3.0%，山东地区去库尤为突出，这主要归因于个别主力炼厂的检修导致供应低位，以及出货以厂库库存为主。</w:t>
      </w:r>
    </w:p>
    <w:p>
      <w:pPr>
        <w:ind w:left="630" w:leftChars="300"/>
        <w:rPr>
          <w:rFonts w:hint="eastAsia" w:ascii="楷体" w:hAnsi="楷体" w:eastAsia="楷体"/>
          <w:sz w:val="24"/>
          <w:szCs w:val="24"/>
        </w:rPr>
      </w:pPr>
      <w:r>
        <w:rPr>
          <w:rFonts w:hint="eastAsia" w:ascii="楷体" w:hAnsi="楷体" w:eastAsia="楷体"/>
          <w:sz w:val="24"/>
          <w:szCs w:val="24"/>
        </w:rPr>
        <w:t>在供需差方面，本周沥青供需差环比大幅增加43.3%，但整体仍处于负值状态。成本端坍塌加剧了业者的看跌情绪，贸易商因此提升了主动去库的意愿，导致价格承压下行。</w:t>
      </w:r>
    </w:p>
    <w:p>
      <w:pPr>
        <w:ind w:left="630" w:leftChars="300"/>
        <w:rPr>
          <w:rFonts w:hint="eastAsia" w:ascii="楷体" w:hAnsi="楷体" w:eastAsia="楷体"/>
          <w:sz w:val="24"/>
          <w:szCs w:val="24"/>
        </w:rPr>
      </w:pPr>
      <w:r>
        <w:rPr>
          <w:rFonts w:hint="eastAsia" w:ascii="楷体" w:hAnsi="楷体" w:eastAsia="楷体"/>
          <w:sz w:val="24"/>
          <w:szCs w:val="24"/>
        </w:rPr>
        <w:t>综上所述，沥青期货市场在当前弱稳运行的态势下，受到产量下滑、库存去库以及供需差和成本端等多重因素的影响。未来，投资者需密切关注这些因素的变化，以制定合理的投资策略。</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6" w:name="_Toc30956"/>
      <w:r>
        <w:rPr>
          <w:rFonts w:hint="eastAsia" w:ascii="Times New Roman" w:hAnsi="Times New Roman" w:eastAsia="楷体"/>
          <w:b/>
          <w:color w:val="000000" w:themeColor="text1"/>
          <w:sz w:val="24"/>
          <w:szCs w:val="24"/>
          <w14:textFill>
            <w14:solidFill>
              <w14:schemeClr w14:val="tx1"/>
            </w14:solidFill>
          </w14:textFill>
        </w:rPr>
        <w:t>PTA：跟随宏观及成本端波动</w:t>
      </w:r>
      <w:bookmarkEnd w:id="36"/>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原油方面，中东局势不稳定的影响仍存，短线偏震荡。OPEC连续第三个月下调全球原油需求增速预测，中线市场交易逻辑回归原油市场供需过剩预期，或有进一步转弱风险。恒力惠州2期250万吨落实检修，个别装置周内负荷小幅变动，至10.17 PTA负荷下调至80.4%（-2.8%）。长丝短纤局部负荷提升及瓶片新增产能，综合来看聚酯负荷继续回升。截至10.17，初步核算国内大陆地区聚酯负荷在92 %附近，随着天气转冷下游开工小幅提升，10月PTA累库格局放缓供需格局改善。综合来看，目前供减需增，短期内受地缘局势发展及宏观商品氛围影响，跟随成本端波动。</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7" w:name="_Toc6756"/>
      <w:r>
        <w:rPr>
          <w:rFonts w:hint="eastAsia" w:ascii="Times New Roman" w:hAnsi="Times New Roman" w:eastAsia="楷体"/>
          <w:b/>
          <w:color w:val="000000" w:themeColor="text1"/>
          <w:sz w:val="24"/>
          <w:szCs w:val="24"/>
          <w14:textFill>
            <w14:solidFill>
              <w14:schemeClr w14:val="tx1"/>
            </w14:solidFill>
          </w14:textFill>
        </w:rPr>
        <w:t>乙二醇：开工回升叠加库存小累 震荡偏弱</w:t>
      </w:r>
      <w:bookmarkEnd w:id="37"/>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供需情况，据隆众资讯最近库存数据可知截止10.17港口库存累积3.58 万吨。截至10月17日，中国大陆地区乙二醇整体开工负荷在68.64%（+0.8%），其中草酸催化加氢法（合成气）制乙二醇开工负荷在64.24%（+2.45%）。下游聚酯开工情况来看，聚酯端负荷整体保持良好，截至10.17，初步核算国内大陆地区聚酯负荷在92%附近，尤其是长丝负荷持续较高。聚酯端库存来看，长丝促销效果显著，整体库存节前维持去化。终端开工情况来看，截止10.17江浙下游加弹、织造、印染负荷分别在93%、83%、86%，整体开工高位维持，织造端坯布整体新订单和出货量较节前多有提振。综合来看，开工小幅提升但10月进口量回升缓慢，旺季预期下自身供需尚可，短线来看跟随成本端冲高回落。中线来看根据供需平衡表测算10月紧平衡叠加绝对库存低位，乙二醇震荡偏强。</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8" w:name="_Toc20565"/>
      <w:r>
        <w:rPr>
          <w:rFonts w:hint="eastAsia" w:ascii="Times New Roman" w:hAnsi="Times New Roman" w:eastAsia="楷体"/>
          <w:b/>
          <w:color w:val="823C0B"/>
          <w:sz w:val="30"/>
          <w:szCs w:val="30"/>
        </w:rPr>
        <w:t>[农产品]</w:t>
      </w:r>
      <w:bookmarkEnd w:id="14"/>
      <w:bookmarkEnd w:id="38"/>
    </w:p>
    <w:p>
      <w:pPr>
        <w:pStyle w:val="93"/>
        <w:spacing w:before="60" w:beforeAutospacing="0" w:after="60" w:afterAutospacing="0"/>
        <w:ind w:left="420" w:leftChars="200"/>
        <w:outlineLvl w:val="1"/>
        <w:rPr>
          <w:rFonts w:hint="eastAsia" w:ascii="楷体" w:hAnsi="楷体" w:eastAsia="楷体"/>
          <w:b/>
        </w:rPr>
      </w:pPr>
      <w:bookmarkStart w:id="39" w:name="_Toc1892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淀粉-玉米价差小幅走扩</w:t>
      </w:r>
      <w:bookmarkEnd w:id="39"/>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表现继续分化，华北产区稳中有涨，东北产区与南北方港口继续弱势；玉米期价早盘后震荡回升，全天小幅收涨。对于玉米而言，目前新作压力仍有待释放，市场或仍处于化解新作上市压力的被动去库存阶段但与此同时，市场利多逐步显现，包括华北小麦上涨和调节储备收购，再加上南方港口内外贸玉米库存偏低，这可能带动中下游贸易与需求企业被动或者主动补库存，继而抑制期现货下跌空间。在这种情况下，我们转为谨慎看多观点，建议投资者可以考虑轻仓入场做多，以本周二低点作为止损。</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玉米淀粉现货整体稳定，各地报价未有变动；淀粉期价跟随玉米反弹，且表现相对强于玉米，淀粉-玉米价差小幅走扩。对于淀粉而言，影响淀粉-玉米价差的三个方面因素整体向好，副产品依然利多，行业供需因表观需求量即出库量带动行业库存大幅下降，原料端则转向偏多，因国庆长假一来华北玉米反弹，而东北玉米持续弱势，华北-东北玉米价差有望走扩。再加上现货基差及其盘面加工利润，我们倾向于淀粉-玉米价差有望趋于走扩。在这种情况下，结合原料玉米判断，我们转为谨慎看多，建议单边投资者可考虑入场做多，套利投资者继续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2977"/>
      <w:r>
        <w:rPr>
          <w:rFonts w:hint="eastAsia" w:ascii="楷体" w:hAnsi="楷体" w:eastAsia="楷体"/>
          <w:b/>
          <w:bCs/>
          <w:color w:val="000000" w:themeColor="text1"/>
          <w14:textFill>
            <w14:solidFill>
              <w14:schemeClr w14:val="tx1"/>
            </w14:solidFill>
          </w14:textFill>
        </w:rPr>
        <w:t>畜禽养殖：生猪近月期价继续上涨</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多有上涨，全国均价上涨0.18元至17.41元/斤；期价表现分化，近月大幅上涨，远月则多有小幅收跌。对于生猪而言，从期价远期贴水结构可以看出，市场对生猪市场远期供需改善预期较为一致，这可以从若干方面得到印证，包括能繁母猪存栏见底回升，猪料产量环比增加，仔猪价格见顶回落等。随着期价的持续回落，市场分歧转向当前期价是否已经反映现货下跌预期，因目前最低的3月合约已经跌至过去两年春节前后低点14元/公斤的水平。从供应角度看，农业农村部公布的季度末生猪存栏量虽连续环比增加，但仍处于过去四年来最低水平，而今年3季度出栏仅次于去年，这意味着4季度供应环比增幅受限，这会抑制猪价下跌空间。而需求则存在较大的不确定性，受宏观经济影响，市场反映今年需求不及往年同期，这会抑制猪价上方空间。考虑到气温的下降，再加上季节性因素，生猪需求或有所改善。在这种情况下，我们持谨慎看多观点。</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趋稳，其中主产区均价持平在4.78元/斤，主销区均价持平在4.96元/斤；期价震荡偏弱，多数合约小幅收跌。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维持谨慎看多观点，建议谨慎投资者观望，激进投资者可考虑持有近月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30984"/>
      <w:r>
        <w:rPr>
          <w:rFonts w:hint="eastAsia" w:ascii="楷体" w:hAnsi="楷体" w:eastAsia="楷体"/>
          <w:b/>
          <w:bCs/>
          <w:color w:val="000000" w:themeColor="text1"/>
          <w14:textFill>
            <w14:solidFill>
              <w14:schemeClr w14:val="tx1"/>
            </w14:solidFill>
          </w14:textFill>
        </w:rPr>
        <w:t>白糖：未能突破6000关口，白糖掉头下试支撑</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隔日外盘，ICE原糖11号主力合约下跌0.50%，伦敦白砂糖主力合约下跌0.53%，郑糖2501主力合约上涨0.09%。据海关统计数据 ，中国2024年9月白糖进口量为403,672吨，环比下降47.39%，同比减少25.09%。1-9月累计进口量为289万吨，同比增加36.98%。尽管因台风天气产量下修，但整体仍是丰产预期。进口成本增加叠加旧作库存紧张的利多此前未能助力白糖向上突破大整数关口，短期内回落下试支撑。</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8030"/>
      <w:r>
        <w:rPr>
          <w:rFonts w:hint="eastAsia" w:ascii="楷体" w:hAnsi="楷体" w:eastAsia="楷体"/>
          <w:b/>
          <w:bCs/>
          <w:color w:val="000000" w:themeColor="text1"/>
          <w14:textFill>
            <w14:solidFill>
              <w14:schemeClr w14:val="tx1"/>
            </w14:solidFill>
          </w14:textFill>
        </w:rPr>
        <w:t>棉花：预计郑棉区间震荡</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上下跌0.46%，郑棉2501主力合约下跌0.14%。据海关公布的数据显示，中国2024年9月棉花进口量为117,341吨，环比减少21.84%，同比减少50.28%，创今年以来最低水平。进口减少，但本年度棉花丰产，产量预计同比增加5%-7%，供应依然充沛。籽棉收购价相对稳定，集中在6.2-6.5元/公斤区间。轧花厂依然持谨慎态度，风险偏好低。丰产预期叠加套保压力，棉花承压，预计温和震荡等待更多消息的刺激。</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3" w:name="_Toc3623"/>
      <w:r>
        <w:rPr>
          <w:rFonts w:hint="eastAsia" w:ascii="楷体" w:hAnsi="楷体" w:eastAsia="楷体"/>
          <w:b/>
          <w:bCs/>
          <w:color w:val="000000" w:themeColor="text1"/>
          <w14:textFill>
            <w14:solidFill>
              <w14:schemeClr w14:val="tx1"/>
            </w14:solidFill>
          </w14:textFill>
        </w:rPr>
        <w:t>蛋白粕：巴西豆出口数据较好，内盘跟涨</w:t>
      </w:r>
      <w:bookmarkEnd w:id="4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上涨1.16%，重回1000美分/磅以上。豆二上涨1.74%，豆粕上涨0.71%；菜籽上涨0.70%，菜粕上涨1.29%，大宗商品普涨氛围下油脂油料飘红。巴西全国谷物出口商协会(Anec)周二表示，巴西10月大豆出口量预计为463万吨，前一周预估为434万吨；10月豆粕出口量预计为257万吨，前一周预估为247万吨，出口预期好转。国内菜籽方面，前期反倾销消息引发市场对供应短缺的担忧，9月进口同比增151.17%，创历史最高纪录，供应充足。两粕自身基本面来看，豆粕库存消耗，但上游油料供应非常充足；菜粕需求疲弱。长期来看，粕类依旧偏弱运行。</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4" w:name="_Toc21533"/>
      <w:r>
        <w:rPr>
          <w:rFonts w:hint="eastAsia" w:ascii="楷体" w:hAnsi="楷体" w:eastAsia="楷体"/>
          <w:b/>
          <w:bCs/>
          <w:color w:val="000000" w:themeColor="text1"/>
          <w14:textFill>
            <w14:solidFill>
              <w14:schemeClr w14:val="tx1"/>
            </w14:solidFill>
          </w14:textFill>
        </w:rPr>
        <w:t>油脂类：马来和印尼消息面为棕油提供支撑，带动豆菜油上涨</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上涨1.84%，菜油上涨2.34%，棕榈油上涨2.71%。马来西亚种植园和商品部长昨日表示表示，将不再因为种植油棕榈而增加森林砍伐面积；印尼农业部长重申，计划明年1月开始实施B40生物柴油计划。消息面利多棕油价格。基本面来看，GAPKI公布最新数据，8月印尼出口较去年同期增加15%，库存环比减少6万吨，库存水平为5年来较低值。同时预计印尼2024年底棕榈油库存在250万吨左右，因产量受到去年干燥天气的影响。棕油供应偏紧，支撑期价。国内棕油到港偏慢，累库速度缓慢，同样坚挺。豆油方面，10月到港量较9月下降，后续有继续下降预期；需求季节性好转，供需宽松边际递减。中长期豆油价格上有压力下有支撑，整体高位震荡。菜油方面，加方态度缓和使市场利多情绪减弱。四季度菜籽、菜油到港充足，供应端有压力。总体而言，棕油表现最强，带动其他油脂上涨。</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5" w:name="_Toc25654"/>
      <w:r>
        <w:rPr>
          <w:rFonts w:hint="eastAsia" w:ascii="Times New Roman" w:hAnsi="Times New Roman" w:eastAsia="楷体"/>
          <w:b/>
          <w:color w:val="823C0B"/>
          <w:sz w:val="30"/>
          <w:szCs w:val="30"/>
        </w:rPr>
        <w:t>[指数]</w:t>
      </w:r>
      <w:bookmarkEnd w:id="45"/>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6" w:name="_Toc810"/>
      <w:r>
        <w:rPr>
          <w:rFonts w:hint="eastAsia" w:ascii="Times New Roman" w:hAnsi="Times New Roman" w:eastAsia="楷体"/>
          <w:b/>
          <w:color w:val="000000" w:themeColor="text1"/>
          <w:sz w:val="24"/>
          <w:szCs w:val="24"/>
          <w14:textFill>
            <w14:solidFill>
              <w14:schemeClr w14:val="tx1"/>
            </w14:solidFill>
          </w14:textFill>
        </w:rPr>
        <w:t>集运指数（欧线）：马士基上调旺季附加费，主力期价略微收跌</w:t>
      </w:r>
      <w:bookmarkEnd w:id="46"/>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期价高开近5%后震荡运行，尾盘回吐涨幅，12合约收跌0.59%至3015.5，远月合约大幅下跌。马士基宣布对从智利和秘鲁至亚洲的航线推出新的旺季附加费 (PSS)，适用于冷藏货物每箱1000美元，11月1日生效；另外，马士基上调从亚洲各港口到沙特阿拉伯的货物旺季附加费，多数于11月1日生效，550美元/TEU、600美元/FEU。据克拉克森数据，1-9月克拉克森海运综合指数均值为25584美元/天，显示今年1-3季度全球航运市场整体保持强劲水平；克拉克森预计全年新船订单约为2,200艘，合11,000万总吨，或较2023年上涨26%。因11月初船司报价基本持平此前宣涨情况，现舱报价带动近期期价上行，近期地缘冲突加剧，后续关注进入11月后涨价落地情况，多空博弈期间留意短期波动加剧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7" w:name="_Toc71212556"/>
      <w:bookmarkStart w:id="48" w:name="_Toc98426751"/>
      <w:bookmarkStart w:id="49" w:name="_Toc12779"/>
      <w:bookmarkStart w:id="50" w:name="_Toc19667"/>
      <w:bookmarkStart w:id="51" w:name="_Toc72481108"/>
      <w:r>
        <w:rPr>
          <w:rFonts w:ascii="Times New Roman" w:hAnsi="Times New Roman" w:eastAsia="楷体"/>
          <w:b/>
          <w:color w:val="411D05"/>
          <w:sz w:val="30"/>
          <w:szCs w:val="30"/>
        </w:rPr>
        <w:t>免责声明</w:t>
      </w:r>
      <w:bookmarkEnd w:id="47"/>
      <w:bookmarkEnd w:id="48"/>
      <w:bookmarkEnd w:id="49"/>
      <w:bookmarkEnd w:id="50"/>
      <w:bookmarkEnd w:id="5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rPr>
                <w:rFonts w:ascii="Times New Roman" w:hAnsi="Times New Roman" w:eastAsia="楷体" w:cs="Times New Roman"/>
                <w:color w:val="823C0B"/>
                <w:sz w:val="22"/>
              </w:rPr>
            </w:pP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2024年10月23日星期三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16719E"/>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E44318"/>
    <w:rsid w:val="40F15753"/>
    <w:rsid w:val="41F950F8"/>
    <w:rsid w:val="428A4A5E"/>
    <w:rsid w:val="42EB3BA1"/>
    <w:rsid w:val="42F51780"/>
    <w:rsid w:val="43F11831"/>
    <w:rsid w:val="43F63E0D"/>
    <w:rsid w:val="44092E2E"/>
    <w:rsid w:val="441077D2"/>
    <w:rsid w:val="44396064"/>
    <w:rsid w:val="458C38B3"/>
    <w:rsid w:val="459609D9"/>
    <w:rsid w:val="45A37566"/>
    <w:rsid w:val="45B634E5"/>
    <w:rsid w:val="45CF0A85"/>
    <w:rsid w:val="46020C32"/>
    <w:rsid w:val="46194A11"/>
    <w:rsid w:val="461E2AF1"/>
    <w:rsid w:val="47752ACA"/>
    <w:rsid w:val="477D75D8"/>
    <w:rsid w:val="47A71483"/>
    <w:rsid w:val="47C813F2"/>
    <w:rsid w:val="48352178"/>
    <w:rsid w:val="489B63EF"/>
    <w:rsid w:val="48D7317F"/>
    <w:rsid w:val="4953255E"/>
    <w:rsid w:val="49BF13F0"/>
    <w:rsid w:val="49C623EE"/>
    <w:rsid w:val="49D75468"/>
    <w:rsid w:val="49E169F0"/>
    <w:rsid w:val="4A1F6F8D"/>
    <w:rsid w:val="4A4A74EF"/>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38706F0"/>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05C44"/>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12735"/>
    <w:rsid w:val="61FB37A1"/>
    <w:rsid w:val="62710E5F"/>
    <w:rsid w:val="62AD0966"/>
    <w:rsid w:val="63735B47"/>
    <w:rsid w:val="63FF1EA7"/>
    <w:rsid w:val="64201218"/>
    <w:rsid w:val="64C32497"/>
    <w:rsid w:val="669D0EEA"/>
    <w:rsid w:val="66B64FC1"/>
    <w:rsid w:val="66C861F9"/>
    <w:rsid w:val="66D04BBC"/>
    <w:rsid w:val="67655BF9"/>
    <w:rsid w:val="678C3343"/>
    <w:rsid w:val="67C6389B"/>
    <w:rsid w:val="685D4EEE"/>
    <w:rsid w:val="68AE1587"/>
    <w:rsid w:val="68CC4906"/>
    <w:rsid w:val="68D53E8D"/>
    <w:rsid w:val="69605268"/>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521A2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5161F9C"/>
    <w:rsid w:val="75281843"/>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2024-10-23T02:09:27Z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