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bookmarkStart w:id="52" w:name="_GoBack"/>
      <w:bookmarkEnd w:id="52"/>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_Toc313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_Toc22261 </w:instrText>
          </w:r>
          <w:r>
            <w:rPr>
              <w:bCs/>
            </w:rPr>
            <w:fldChar w:fldCharType="separate"/>
          </w:r>
          <w:r>
            <w:rPr>
              <w:rFonts w:hint="eastAsia" w:ascii="Times New Roman" w:hAnsi="Times New Roman" w:eastAsia="楷体"/>
              <w:szCs w:val="24"/>
            </w:rPr>
            <w:t>股指：观望为主，待市场情绪回归平稳</w:t>
          </w:r>
          <w:r>
            <w:rPr>
              <w:bCs/>
            </w:rPr>
            <w:fldChar w:fldCharType="end"/>
          </w:r>
        </w:p>
        <w:p>
          <w:pPr>
            <w:pStyle w:val="59"/>
            <w:tabs>
              <w:tab w:val="right" w:leader="dot" w:pos="8306"/>
            </w:tabs>
          </w:pPr>
          <w:r>
            <w:rPr>
              <w:bCs/>
            </w:rPr>
            <w:fldChar w:fldCharType="begin"/>
          </w:r>
          <w:r>
            <w:rPr>
              <w:bCs/>
            </w:rPr>
            <w:instrText xml:space="preserve"> HYPERLINK \l _Toc29273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_Toc21584 </w:instrText>
          </w:r>
          <w:r>
            <w:rPr>
              <w:bCs/>
            </w:rPr>
            <w:fldChar w:fldCharType="separate"/>
          </w:r>
          <w:r>
            <w:rPr>
              <w:rFonts w:hint="eastAsia" w:ascii="Times New Roman" w:hAnsi="Times New Roman" w:eastAsia="楷体"/>
              <w:szCs w:val="24"/>
            </w:rPr>
            <w:t>贵金属：美国标普制造业PMI略微回升，贵金属价格上涨</w:t>
          </w:r>
          <w:r>
            <w:rPr>
              <w:bCs/>
            </w:rPr>
            <w:fldChar w:fldCharType="end"/>
          </w:r>
        </w:p>
        <w:p>
          <w:pPr>
            <w:pStyle w:val="59"/>
            <w:tabs>
              <w:tab w:val="right" w:leader="dot" w:pos="8306"/>
            </w:tabs>
          </w:pPr>
          <w:r>
            <w:rPr>
              <w:bCs/>
            </w:rPr>
            <w:fldChar w:fldCharType="begin"/>
          </w:r>
          <w:r>
            <w:rPr>
              <w:bCs/>
            </w:rPr>
            <w:instrText xml:space="preserve"> HYPERLINK \l _Toc13365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_Toc23711 </w:instrText>
          </w:r>
          <w:r>
            <w:rPr>
              <w:bCs/>
            </w:rPr>
            <w:fldChar w:fldCharType="separate"/>
          </w:r>
          <w:r>
            <w:rPr>
              <w:rFonts w:hint="eastAsia" w:ascii="楷体" w:hAnsi="楷体" w:eastAsia="楷体"/>
              <w:szCs w:val="24"/>
            </w:rPr>
            <w:t>碳酸锂：现货价格持平，期价微跌</w:t>
          </w:r>
          <w:r>
            <w:rPr>
              <w:bCs/>
            </w:rPr>
            <w:fldChar w:fldCharType="end"/>
          </w:r>
        </w:p>
        <w:p>
          <w:pPr>
            <w:pStyle w:val="74"/>
            <w:tabs>
              <w:tab w:val="right" w:leader="dot" w:pos="8306"/>
            </w:tabs>
          </w:pPr>
          <w:r>
            <w:rPr>
              <w:bCs/>
            </w:rPr>
            <w:fldChar w:fldCharType="begin"/>
          </w:r>
          <w:r>
            <w:rPr>
              <w:bCs/>
            </w:rPr>
            <w:instrText xml:space="preserve"> HYPERLINK \l _Toc16069 </w:instrText>
          </w:r>
          <w:r>
            <w:rPr>
              <w:bCs/>
            </w:rPr>
            <w:fldChar w:fldCharType="separate"/>
          </w:r>
          <w:r>
            <w:rPr>
              <w:rFonts w:hint="eastAsia" w:ascii="楷体" w:hAnsi="楷体" w:eastAsia="楷体"/>
              <w:szCs w:val="24"/>
            </w:rPr>
            <w:t>铝：铝价保持震荡</w:t>
          </w:r>
          <w:r>
            <w:rPr>
              <w:bCs/>
            </w:rPr>
            <w:fldChar w:fldCharType="end"/>
          </w:r>
        </w:p>
        <w:p>
          <w:pPr>
            <w:pStyle w:val="74"/>
            <w:tabs>
              <w:tab w:val="right" w:leader="dot" w:pos="8306"/>
            </w:tabs>
          </w:pPr>
          <w:r>
            <w:rPr>
              <w:bCs/>
            </w:rPr>
            <w:fldChar w:fldCharType="begin"/>
          </w:r>
          <w:r>
            <w:rPr>
              <w:bCs/>
            </w:rPr>
            <w:instrText xml:space="preserve"> HYPERLINK \l _Toc11030 </w:instrText>
          </w:r>
          <w:r>
            <w:rPr>
              <w:bCs/>
            </w:rPr>
            <w:fldChar w:fldCharType="separate"/>
          </w:r>
          <w:r>
            <w:rPr>
              <w:rFonts w:hint="eastAsia" w:ascii="楷体" w:hAnsi="楷体" w:eastAsia="楷体"/>
              <w:szCs w:val="24"/>
            </w:rPr>
            <w:t>锌：锌价高位区间震荡</w:t>
          </w:r>
          <w:r>
            <w:rPr>
              <w:bCs/>
            </w:rPr>
            <w:fldChar w:fldCharType="end"/>
          </w:r>
        </w:p>
        <w:p>
          <w:pPr>
            <w:pStyle w:val="74"/>
            <w:tabs>
              <w:tab w:val="right" w:leader="dot" w:pos="8306"/>
            </w:tabs>
          </w:pPr>
          <w:r>
            <w:rPr>
              <w:bCs/>
            </w:rPr>
            <w:fldChar w:fldCharType="begin"/>
          </w:r>
          <w:r>
            <w:rPr>
              <w:bCs/>
            </w:rPr>
            <w:instrText xml:space="preserve"> HYPERLINK \l _Toc32523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：震荡为主</w:t>
          </w:r>
          <w:r>
            <w:rPr>
              <w:bCs/>
            </w:rPr>
            <w:fldChar w:fldCharType="end"/>
          </w:r>
        </w:p>
        <w:p>
          <w:pPr>
            <w:pStyle w:val="74"/>
            <w:tabs>
              <w:tab w:val="right" w:leader="dot" w:pos="8306"/>
            </w:tabs>
          </w:pPr>
          <w:r>
            <w:rPr>
              <w:bCs/>
            </w:rPr>
            <w:fldChar w:fldCharType="begin"/>
          </w:r>
          <w:r>
            <w:rPr>
              <w:bCs/>
            </w:rPr>
            <w:instrText xml:space="preserve"> HYPERLINK \l _Toc1250 </w:instrText>
          </w:r>
          <w:r>
            <w:rPr>
              <w:bCs/>
            </w:rPr>
            <w:fldChar w:fldCharType="separate"/>
          </w:r>
          <w:r>
            <w:rPr>
              <w:rFonts w:hint="eastAsia" w:ascii="楷体" w:hAnsi="楷体" w:eastAsia="楷体"/>
              <w:szCs w:val="24"/>
            </w:rPr>
            <w:t>镍：维持偏空思路</w:t>
          </w:r>
          <w:r>
            <w:rPr>
              <w:bCs/>
            </w:rPr>
            <w:fldChar w:fldCharType="end"/>
          </w:r>
        </w:p>
        <w:p>
          <w:pPr>
            <w:pStyle w:val="74"/>
            <w:tabs>
              <w:tab w:val="right" w:leader="dot" w:pos="8306"/>
            </w:tabs>
          </w:pPr>
          <w:r>
            <w:rPr>
              <w:bCs/>
            </w:rPr>
            <w:fldChar w:fldCharType="begin"/>
          </w:r>
          <w:r>
            <w:rPr>
              <w:bCs/>
            </w:rPr>
            <w:instrText xml:space="preserve"> HYPERLINK \l _Toc18664 </w:instrText>
          </w:r>
          <w:r>
            <w:rPr>
              <w:bCs/>
            </w:rPr>
            <w:fldChar w:fldCharType="separate"/>
          </w:r>
          <w:r>
            <w:rPr>
              <w:rFonts w:hint="eastAsia" w:ascii="楷体" w:hAnsi="楷体" w:eastAsia="楷体"/>
              <w:szCs w:val="24"/>
            </w:rPr>
            <w:t>锡：高位震荡</w:t>
          </w:r>
          <w:r>
            <w:rPr>
              <w:bCs/>
            </w:rPr>
            <w:fldChar w:fldCharType="end"/>
          </w:r>
        </w:p>
        <w:p>
          <w:pPr>
            <w:pStyle w:val="74"/>
            <w:tabs>
              <w:tab w:val="right" w:leader="dot" w:pos="8306"/>
            </w:tabs>
          </w:pPr>
          <w:r>
            <w:rPr>
              <w:bCs/>
            </w:rPr>
            <w:fldChar w:fldCharType="begin"/>
          </w:r>
          <w:r>
            <w:rPr>
              <w:bCs/>
            </w:rPr>
            <w:instrText xml:space="preserve"> HYPERLINK \l _Toc11300 </w:instrText>
          </w:r>
          <w:r>
            <w:rPr>
              <w:bCs/>
            </w:rPr>
            <w:fldChar w:fldCharType="separate"/>
          </w:r>
          <w:r>
            <w:rPr>
              <w:rFonts w:hint="eastAsia" w:ascii="楷体" w:hAnsi="楷体" w:eastAsia="楷体"/>
              <w:szCs w:val="24"/>
            </w:rPr>
            <w:t>铅：需求难承接供应增量，铅价上方空间有</w:t>
          </w:r>
          <w:r>
            <w:rPr>
              <w:bCs/>
            </w:rPr>
            <w:fldChar w:fldCharType="end"/>
          </w:r>
        </w:p>
        <w:p>
          <w:pPr>
            <w:pStyle w:val="74"/>
            <w:tabs>
              <w:tab w:val="right" w:leader="dot" w:pos="8306"/>
            </w:tabs>
          </w:pPr>
          <w:r>
            <w:rPr>
              <w:bCs/>
            </w:rPr>
            <w:fldChar w:fldCharType="begin"/>
          </w:r>
          <w:r>
            <w:rPr>
              <w:bCs/>
            </w:rPr>
            <w:instrText xml:space="preserve"> HYPERLINK \l _Toc9397 </w:instrText>
          </w:r>
          <w:r>
            <w:rPr>
              <w:bCs/>
            </w:rPr>
            <w:fldChar w:fldCharType="separate"/>
          </w:r>
          <w:r>
            <w:rPr>
              <w:rFonts w:hint="eastAsia" w:ascii="楷体" w:hAnsi="楷体" w:eastAsia="楷体"/>
              <w:szCs w:val="24"/>
            </w:rPr>
            <w:t>不锈钢：传言镍铁挺价，支撑不锈钢价</w:t>
          </w:r>
          <w:r>
            <w:rPr>
              <w:bCs/>
            </w:rPr>
            <w:fldChar w:fldCharType="end"/>
          </w:r>
        </w:p>
        <w:p>
          <w:pPr>
            <w:pStyle w:val="74"/>
            <w:tabs>
              <w:tab w:val="right" w:leader="dot" w:pos="8306"/>
            </w:tabs>
          </w:pPr>
          <w:r>
            <w:rPr>
              <w:bCs/>
            </w:rPr>
            <w:fldChar w:fldCharType="begin"/>
          </w:r>
          <w:r>
            <w:rPr>
              <w:bCs/>
            </w:rPr>
            <w:instrText xml:space="preserve"> HYPERLINK \l _Toc932 </w:instrText>
          </w:r>
          <w:r>
            <w:rPr>
              <w:bCs/>
            </w:rPr>
            <w:fldChar w:fldCharType="separate"/>
          </w:r>
          <w:r>
            <w:rPr>
              <w:rFonts w:hint="eastAsia" w:ascii="楷体" w:hAnsi="楷体" w:eastAsia="楷体"/>
              <w:szCs w:val="24"/>
            </w:rPr>
            <w:t>工业硅：仓单压力未完全释放，反弹压力仍存</w:t>
          </w:r>
          <w:r>
            <w:rPr>
              <w:bCs/>
            </w:rPr>
            <w:fldChar w:fldCharType="end"/>
          </w:r>
        </w:p>
        <w:p>
          <w:pPr>
            <w:pStyle w:val="74"/>
            <w:tabs>
              <w:tab w:val="right" w:leader="dot" w:pos="8306"/>
            </w:tabs>
          </w:pPr>
          <w:r>
            <w:rPr>
              <w:bCs/>
            </w:rPr>
            <w:fldChar w:fldCharType="begin"/>
          </w:r>
          <w:r>
            <w:rPr>
              <w:bCs/>
            </w:rPr>
            <w:instrText xml:space="preserve"> HYPERLINK \l _Toc16036 </w:instrText>
          </w:r>
          <w:r>
            <w:rPr>
              <w:bCs/>
            </w:rPr>
            <w:fldChar w:fldCharType="separate"/>
          </w:r>
          <w:r>
            <w:rPr>
              <w:rFonts w:hint="eastAsia" w:ascii="楷体" w:hAnsi="楷体" w:eastAsia="楷体"/>
              <w:szCs w:val="24"/>
            </w:rPr>
            <w:t>螺纹钢：基本面有所转弱，盘面或震荡运行</w:t>
          </w:r>
          <w:r>
            <w:rPr>
              <w:bCs/>
            </w:rPr>
            <w:fldChar w:fldCharType="end"/>
          </w:r>
        </w:p>
        <w:p>
          <w:pPr>
            <w:pStyle w:val="59"/>
            <w:tabs>
              <w:tab w:val="right" w:leader="dot" w:pos="8306"/>
            </w:tabs>
          </w:pPr>
          <w:r>
            <w:rPr>
              <w:bCs/>
            </w:rPr>
            <w:fldChar w:fldCharType="begin"/>
          </w:r>
          <w:r>
            <w:rPr>
              <w:bCs/>
            </w:rPr>
            <w:instrText xml:space="preserve"> HYPERLINK \l _Toc12586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_Toc11831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主产区天气持续转好 胶水价格大跌</w:t>
          </w:r>
          <w:r>
            <w:rPr>
              <w:bCs/>
            </w:rPr>
            <w:fldChar w:fldCharType="end"/>
          </w:r>
        </w:p>
        <w:p>
          <w:pPr>
            <w:pStyle w:val="74"/>
            <w:tabs>
              <w:tab w:val="right" w:leader="dot" w:pos="8306"/>
            </w:tabs>
          </w:pPr>
          <w:r>
            <w:rPr>
              <w:bCs/>
            </w:rPr>
            <w:fldChar w:fldCharType="begin"/>
          </w:r>
          <w:r>
            <w:rPr>
              <w:bCs/>
            </w:rPr>
            <w:instrText xml:space="preserve"> HYPERLINK \l _Toc15269 </w:instrText>
          </w:r>
          <w:r>
            <w:rPr>
              <w:bCs/>
            </w:rPr>
            <w:fldChar w:fldCharType="separate"/>
          </w:r>
          <w:r>
            <w:rPr>
              <w:rFonts w:hint="eastAsia" w:ascii="Times New Roman" w:hAnsi="Times New Roman" w:eastAsia="楷体"/>
              <w:szCs w:val="24"/>
            </w:rPr>
            <w:t>聚烯烃：旺季需求提振有限，聚烯烃随原油波动为主</w:t>
          </w:r>
          <w:r>
            <w:rPr>
              <w:bCs/>
            </w:rPr>
            <w:fldChar w:fldCharType="end"/>
          </w:r>
        </w:p>
        <w:p>
          <w:pPr>
            <w:pStyle w:val="74"/>
            <w:tabs>
              <w:tab w:val="right" w:leader="dot" w:pos="8306"/>
            </w:tabs>
          </w:pPr>
          <w:r>
            <w:rPr>
              <w:bCs/>
            </w:rPr>
            <w:fldChar w:fldCharType="begin"/>
          </w:r>
          <w:r>
            <w:rPr>
              <w:bCs/>
            </w:rPr>
            <w:instrText xml:space="preserve"> HYPERLINK \l _Toc15944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_Toc19337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_Toc25208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_Toc9989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_Toc11524 </w:instrText>
          </w:r>
          <w:r>
            <w:rPr>
              <w:bCs/>
            </w:rPr>
            <w:fldChar w:fldCharType="separate"/>
          </w:r>
          <w:r>
            <w:rPr>
              <w:rFonts w:hint="eastAsia" w:ascii="Times New Roman" w:hAnsi="Times New Roman" w:eastAsia="楷体"/>
              <w:szCs w:val="24"/>
            </w:rPr>
            <w:t>乙二醇：开工回升叠加库存累积 震荡偏弱</w:t>
          </w:r>
          <w:r>
            <w:rPr>
              <w:bCs/>
            </w:rPr>
            <w:fldChar w:fldCharType="end"/>
          </w:r>
        </w:p>
        <w:p>
          <w:pPr>
            <w:pStyle w:val="59"/>
            <w:tabs>
              <w:tab w:val="right" w:leader="dot" w:pos="8306"/>
            </w:tabs>
          </w:pPr>
          <w:r>
            <w:rPr>
              <w:bCs/>
            </w:rPr>
            <w:fldChar w:fldCharType="begin"/>
          </w:r>
          <w:r>
            <w:rPr>
              <w:bCs/>
            </w:rPr>
            <w:instrText xml:space="preserve"> HYPERLINK \l _Toc4352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_Toc28752 </w:instrText>
          </w:r>
          <w:r>
            <w:rPr>
              <w:bCs/>
            </w:rPr>
            <w:fldChar w:fldCharType="separate"/>
          </w:r>
          <w:r>
            <w:rPr>
              <w:rFonts w:hint="eastAsia" w:ascii="楷体" w:hAnsi="楷体" w:eastAsia="楷体"/>
              <w:bCs/>
            </w:rPr>
            <w:t>玉米与淀粉：</w:t>
          </w:r>
          <w:r>
            <w:rPr>
              <w:rFonts w:hint="eastAsia" w:ascii="楷体" w:hAnsi="楷体" w:eastAsia="楷体"/>
            </w:rPr>
            <w:t>期价震荡等待现货正向反馈</w:t>
          </w:r>
          <w:r>
            <w:rPr>
              <w:bCs/>
            </w:rPr>
            <w:fldChar w:fldCharType="end"/>
          </w:r>
        </w:p>
        <w:p>
          <w:pPr>
            <w:pStyle w:val="74"/>
            <w:tabs>
              <w:tab w:val="right" w:leader="dot" w:pos="8306"/>
            </w:tabs>
          </w:pPr>
          <w:r>
            <w:rPr>
              <w:bCs/>
            </w:rPr>
            <w:fldChar w:fldCharType="begin"/>
          </w:r>
          <w:r>
            <w:rPr>
              <w:bCs/>
            </w:rPr>
            <w:instrText xml:space="preserve"> HYPERLINK \l _Toc10503 </w:instrText>
          </w:r>
          <w:r>
            <w:rPr>
              <w:bCs/>
            </w:rPr>
            <w:fldChar w:fldCharType="separate"/>
          </w:r>
          <w:r>
            <w:rPr>
              <w:rFonts w:hint="eastAsia" w:ascii="楷体" w:hAnsi="楷体" w:eastAsia="楷体"/>
              <w:bCs/>
            </w:rPr>
            <w:t>畜禽养殖：生猪期价近强远弱</w:t>
          </w:r>
          <w:r>
            <w:rPr>
              <w:bCs/>
            </w:rPr>
            <w:fldChar w:fldCharType="end"/>
          </w:r>
        </w:p>
        <w:p>
          <w:pPr>
            <w:pStyle w:val="74"/>
            <w:tabs>
              <w:tab w:val="right" w:leader="dot" w:pos="8306"/>
            </w:tabs>
          </w:pPr>
          <w:r>
            <w:rPr>
              <w:bCs/>
            </w:rPr>
            <w:fldChar w:fldCharType="begin"/>
          </w:r>
          <w:r>
            <w:rPr>
              <w:bCs/>
            </w:rPr>
            <w:instrText xml:space="preserve"> HYPERLINK \l _Toc20897 </w:instrText>
          </w:r>
          <w:r>
            <w:rPr>
              <w:bCs/>
            </w:rPr>
            <w:fldChar w:fldCharType="separate"/>
          </w:r>
          <w:r>
            <w:rPr>
              <w:rFonts w:hint="eastAsia" w:ascii="楷体" w:hAnsi="楷体" w:eastAsia="楷体"/>
              <w:bCs/>
            </w:rPr>
            <w:t>白糖：国际糖价大跌，郑糖震荡整理</w:t>
          </w:r>
          <w:r>
            <w:rPr>
              <w:bCs/>
            </w:rPr>
            <w:fldChar w:fldCharType="end"/>
          </w:r>
        </w:p>
        <w:p>
          <w:pPr>
            <w:pStyle w:val="74"/>
            <w:tabs>
              <w:tab w:val="right" w:leader="dot" w:pos="8306"/>
            </w:tabs>
          </w:pPr>
          <w:r>
            <w:rPr>
              <w:bCs/>
            </w:rPr>
            <w:fldChar w:fldCharType="begin"/>
          </w:r>
          <w:r>
            <w:rPr>
              <w:bCs/>
            </w:rPr>
            <w:instrText xml:space="preserve"> HYPERLINK \l _Toc7048 </w:instrText>
          </w:r>
          <w:r>
            <w:rPr>
              <w:bCs/>
            </w:rPr>
            <w:fldChar w:fldCharType="separate"/>
          </w:r>
          <w:r>
            <w:rPr>
              <w:rFonts w:hint="eastAsia" w:ascii="楷体" w:hAnsi="楷体" w:eastAsia="楷体"/>
              <w:bCs/>
            </w:rPr>
            <w:t>棉花：预计郑棉区间震荡</w:t>
          </w:r>
          <w:r>
            <w:rPr>
              <w:bCs/>
            </w:rPr>
            <w:fldChar w:fldCharType="end"/>
          </w:r>
        </w:p>
        <w:p>
          <w:pPr>
            <w:pStyle w:val="74"/>
            <w:tabs>
              <w:tab w:val="right" w:leader="dot" w:pos="8306"/>
            </w:tabs>
          </w:pPr>
          <w:r>
            <w:rPr>
              <w:bCs/>
            </w:rPr>
            <w:fldChar w:fldCharType="begin"/>
          </w:r>
          <w:r>
            <w:rPr>
              <w:bCs/>
            </w:rPr>
            <w:instrText xml:space="preserve"> HYPERLINK \l _Toc32482 </w:instrText>
          </w:r>
          <w:r>
            <w:rPr>
              <w:bCs/>
            </w:rPr>
            <w:fldChar w:fldCharType="separate"/>
          </w:r>
          <w:r>
            <w:rPr>
              <w:rFonts w:hint="eastAsia" w:ascii="楷体" w:hAnsi="楷体" w:eastAsia="楷体"/>
              <w:bCs/>
            </w:rPr>
            <w:t>蛋白粕：粕类走势略分化，基本面来看偏弱运行</w:t>
          </w:r>
          <w:r>
            <w:rPr>
              <w:bCs/>
            </w:rPr>
            <w:fldChar w:fldCharType="end"/>
          </w:r>
        </w:p>
        <w:p>
          <w:pPr>
            <w:pStyle w:val="74"/>
            <w:tabs>
              <w:tab w:val="right" w:leader="dot" w:pos="8306"/>
            </w:tabs>
          </w:pPr>
          <w:r>
            <w:rPr>
              <w:bCs/>
            </w:rPr>
            <w:fldChar w:fldCharType="begin"/>
          </w:r>
          <w:r>
            <w:rPr>
              <w:bCs/>
            </w:rPr>
            <w:instrText xml:space="preserve"> HYPERLINK \l _Toc11540 </w:instrText>
          </w:r>
          <w:r>
            <w:rPr>
              <w:bCs/>
            </w:rPr>
            <w:fldChar w:fldCharType="separate"/>
          </w:r>
          <w:r>
            <w:rPr>
              <w:rFonts w:hint="eastAsia" w:ascii="楷体" w:hAnsi="楷体" w:eastAsia="楷体"/>
              <w:bCs/>
            </w:rPr>
            <w:t>油脂类：警惕多头获利离场，棕油回落</w:t>
          </w:r>
          <w:r>
            <w:rPr>
              <w:bCs/>
            </w:rPr>
            <w:fldChar w:fldCharType="end"/>
          </w:r>
        </w:p>
        <w:p>
          <w:pPr>
            <w:pStyle w:val="59"/>
            <w:tabs>
              <w:tab w:val="right" w:leader="dot" w:pos="8306"/>
            </w:tabs>
          </w:pPr>
          <w:r>
            <w:rPr>
              <w:bCs/>
            </w:rPr>
            <w:fldChar w:fldCharType="begin"/>
          </w:r>
          <w:r>
            <w:rPr>
              <w:bCs/>
            </w:rPr>
            <w:instrText xml:space="preserve"> HYPERLINK \l _Toc1902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_Toc16508 </w:instrText>
          </w:r>
          <w:r>
            <w:rPr>
              <w:bCs/>
            </w:rPr>
            <w:fldChar w:fldCharType="separate"/>
          </w:r>
          <w:r>
            <w:rPr>
              <w:rFonts w:hint="eastAsia" w:ascii="Times New Roman" w:hAnsi="Times New Roman" w:eastAsia="楷体"/>
              <w:szCs w:val="24"/>
            </w:rPr>
            <w:t>集运指数（欧线）：期价大幅上涨，短线或宽幅震荡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31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2261"/>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观望为主，待市场情绪回归平稳</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节后政策预期差变化，A股回归存量博弈，同时美国9月非农就业和通胀超预期，地缘政治风险升温，美国大选存变数，美元指数反弹，带动近期人民币汇率偏弱，短期给市场带来一定调整压力，短线观望为主，等待市场情绪回归平稳。</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9273"/>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1584"/>
      <w:r>
        <w:rPr>
          <w:rFonts w:hint="eastAsia" w:ascii="Times New Roman" w:hAnsi="Times New Roman" w:eastAsia="楷体"/>
          <w:b/>
          <w:color w:val="000000" w:themeColor="text1"/>
          <w:sz w:val="24"/>
          <w:szCs w:val="24"/>
          <w14:textFill>
            <w14:solidFill>
              <w14:schemeClr w14:val="tx1"/>
            </w14:solidFill>
          </w14:textFill>
        </w:rPr>
        <w:t>贵金属：美国标普制造业PMI略微回升，贵金属价格上涨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0.58%至628.92；沪银涨1.25%至8402元/千克。近日多位美联储官员表态偏向鹰派，传递渐进式降息的信号。美联储施密德表示，偏好相对激进的缩表策略；美联储对2%通胀目标有非常强烈的承诺；美联储并不过于关注预期中的冲击；倾向于放慢降息步伐。 美联储卡什卡利重申，他倾向于在未来几个季度放慢降息步伐；他支持美联储9月幅度大于常规的降息，但预计未来会议的降息幅度较小。美联储戴利表示，支持9月降息50个基点；将根据数据决定美联储11月利率决议；到目前为止，尚未看到任何迹象表明不会继续降息；不希望看到劳动力市场进一步放缓。近期特朗普支持率上升，美国大选临近以及地缘政治冲突风险等仍将提振避险情绪，沪金续创新高后上方空间打开，贵金属价格或偏强运行。</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336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3711"/>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碳酸锂：现货价格持平，期价微跌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01合约微跌0.40%至74200元/吨。澳矿6%精矿CIF价格微跌至约775美元/吨，外采矿石提锂企业利润持续倒挂。据广期所业务细则，下周一起，11合约非期货公司会员、境外特殊非经纪参与者、客户持仓限额降低至1000手，建议相关持仓择机换月展期。9月，中国动力电芯产量环比增长8%，同比增长40%；SMM预计10月中国动力电芯排产环比增6%，铁锂电芯占比约64%，三元电芯占比约36%。下游需求维持相对乐观，但中期供需或维持略微过剩格局，期价或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6069"/>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铝价保持震荡</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元指数近期强势，压制有色价格表现，国内政策面持续释放利多，但宏观情绪刺激相对有限。几内亚雨季逐步进入尾声，但当地矿产出港量依旧保持低位，国内矿产复产进度缓慢，另有阿联酋环球铝业几内亚子公司出口被关停消息刺激，铝土矿供应紧张格局延续，氧化铝流通现货稀缺，现货价向期货盘面收敛，对电解铝成本形成较强支撑，下游电解铝开产产能保持高位，进入四季度枯水期但预计受影响产能较少，下游企业加工情况明显改善，铸锭库存、铝棒库存去库，对外出口消费走弱。</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宏观情绪近期对盘面影响走弱，回归基本面，供给端提供强支撑，国内下游需求改善但出口消费走弱，库存去库，铝价在成本强，供多需改善的情况下仍趋势看多。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1030"/>
      <w:r>
        <w:rPr>
          <w:rFonts w:hint="eastAsia" w:ascii="楷体" w:hAnsi="楷体" w:eastAsia="楷体"/>
          <w:b/>
          <w:color w:val="000000" w:themeColor="text1"/>
          <w:sz w:val="24"/>
          <w:szCs w:val="24"/>
          <w14:textFill>
            <w14:solidFill>
              <w14:schemeClr w14:val="tx1"/>
            </w14:solidFill>
          </w14:textFill>
        </w:rPr>
        <w:t>锌：锌价高位区间震荡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降息步伐预期放缓，国内经济政策工具箱打开，政策利好持续释放，宏观情绪反复拉扯。矿TC加工费反弹乏力，澳洲century发生山火加紧矿供应预期，原料紧缺仍为锌市供应难题，短期进口矿补充难以缓解炼厂原料压力，锌矿-精炼锌利润倒挂，炼厂生产积极性较低，但9月精炼锌产量略有提增，受宏观情绪推动沪锌期货价格攀至高位，实际下游接受度较差，钢厂基本面压力大，旺季不旺拖累镀锌需求，锌合金及氧化锌消费未有超预期表现，库存低位小幅累积。基本面供需两弱，锌价高位市场接受度较低，锌价上行动力缺缺，隔夜大幅回收昨日涨幅，暂时对锌价判断为高位区间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32523"/>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：震荡为主</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(1)库存：10月24日，SHFE仓单库存58510吨，减47吨；LME仓单库存278325吨，减1300吨。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(2)精废价差：10月24日，Mysteel精废价差1032，收窄74。目前价差在合理价差1465之下。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大选不确定性和降息预期降温，美元继续升至近三个月新高，整体有色承压运行。基本面，国庆后库存持续累增，现货维持贴水，但10-11月冶炼端扰动加大，精铜产量环比或继续走低，将缓解库存压力。整体而言，当前铜供需矛盾不大对价格影响相对有限，短期价格更多受宏观情绪波动，国内政策持续拖底提供支撑，强势美元压制短期价格上行空间，震荡为主，参考7.6-7.8万。操作上，建议低位适当采买。</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250"/>
      <w:r>
        <w:rPr>
          <w:rFonts w:hint="eastAsia" w:ascii="楷体" w:hAnsi="楷体" w:eastAsia="楷体"/>
          <w:b/>
          <w:color w:val="000000" w:themeColor="text1"/>
          <w:sz w:val="24"/>
          <w:szCs w:val="24"/>
          <w14:textFill>
            <w14:solidFill>
              <w14:schemeClr w14:val="tx1"/>
            </w14:solidFill>
          </w14:textFill>
        </w:rPr>
        <w:t>镍：维持偏空思路</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国内政策处于人大会议前的空窗期，现实经济基本面偏弱；美国标普制造业PMI略微回升，海外特朗普交易及降息预期下调使美元指数走强，施压金属板块。镍矿方面，当前印尼中高品味镍矿内贸升水维持在22美元/湿吨左右，不过Eramet与青山集团的合资镍矿山 PT Weda Bay Nickel再次通过1600万吨镍矿配额，说明印尼镍矿RKAB进度或加快，印尼镍矿供应紧张状况或缓解，密切关注印尼镍矿价格变动。供需方面，精炼镍供需情况乏善可陈，三元材料产业链处于去库周期，镍过剩格局延续，海内外库存趋势性累库。综合而言，宏观情绪预计偏空，镍基本面未有起色，加上镍矿存在供应宽松预期，镍价或震荡偏弱运行。</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8664"/>
      <w:r>
        <w:rPr>
          <w:rFonts w:hint="eastAsia" w:ascii="楷体" w:hAnsi="楷体" w:eastAsia="楷体"/>
          <w:b/>
          <w:color w:val="000000" w:themeColor="text1"/>
          <w:sz w:val="24"/>
          <w:szCs w:val="24"/>
          <w14:textFill>
            <w14:solidFill>
              <w14:schemeClr w14:val="tx1"/>
            </w14:solidFill>
          </w14:textFill>
        </w:rPr>
        <w:t>锡：高位震荡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元指数延续强势压制整体有色，上周国内锡社库小增，库存水平与去年接近。近日缅甸佤邦地区有办证缴费的通知，或预示着复产时点临近，但目前仍没有围绕锡采矿复工的确定性消息，不过情绪上有些波动，即使缅甸佤邦宣布复产，从发布复产通知到正式开始生产预计还需要1-3个月准备时间，预计实际供应量可能要到明年才能贡献。国内冶炼厂加工费低位运行凸显原料供应偏紧，对价格仍有底部支撑，短期上下驱动有限，高位震荡为主，参考25-26万。持续关注佤邦矿端后续发展。</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1300"/>
      <w:r>
        <w:rPr>
          <w:rFonts w:hint="eastAsia" w:ascii="楷体" w:hAnsi="楷体" w:eastAsia="楷体"/>
          <w:b/>
          <w:color w:val="000000" w:themeColor="text1"/>
          <w:sz w:val="24"/>
          <w:szCs w:val="24"/>
          <w14:textFill>
            <w14:solidFill>
              <w14:schemeClr w14:val="tx1"/>
            </w14:solidFill>
          </w14:textFill>
        </w:rPr>
        <w:t>铅：需求难承接供应增量，铅价上方空间有</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铅：需求难承接供应增量，铅价上方空间有限废电瓶方面，近期废电瓶到货量增加，再生铅炼企库存处于安全水平。原生铅方面，炼企普遍恢复生产，加之青海西豫20万吨产能已投产，原生铅供应趋增。再生铅方面，受利润浮亏及安徽环保检查的影响，再生铅复产节奏放缓，不过整体而言再生铅供应将呈现增量。需求方面，受以旧换新等政策影响，下游需求有边际改善，本周社库去化，但铅市消费已逐渐步入传统淡季，预计后续消费难以承接供应增量。综合而言，社库去化，但供应端逐步复产，而消费预计难以承接供应增量，铅价上方空间有限。</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9397"/>
      <w:r>
        <w:rPr>
          <w:rFonts w:hint="eastAsia" w:ascii="楷体" w:hAnsi="楷体" w:eastAsia="楷体"/>
          <w:b/>
          <w:color w:val="000000" w:themeColor="text1"/>
          <w:sz w:val="24"/>
          <w:szCs w:val="24"/>
          <w14:textFill>
            <w14:solidFill>
              <w14:schemeClr w14:val="tx1"/>
            </w14:solidFill>
          </w14:textFill>
        </w:rPr>
        <w:t>不锈钢：传言镍铁挺价，支撑不锈钢价</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宏观方面，特朗普交易及降息预期下调，美元指数走强，宏观氛围偏空。镍矿方面，当前印尼中高品味镍矿内贸升水维持在22美元/湿吨左右，不过近期Eramet与青山集团的合资镍矿山 PT Weda Bay Nickel再次通过1600万吨镍矿配额，说明印尼镍矿RKAB进度或加快。镍铁方面，市场传言镍铁厂商碰头开会决定挺价，不过后续镍铁价格仍要看需求及镍矿供应情况。供需方面，不锈钢厂排产仍处于高位水平，下游补库力度有限，本周社会库存继续累库，累幅为1.13%。综合而言，镍铁挺价传言对不锈钢价格形成支撑，但供应高排产而下游补库有限，社会库存继续累积，印尼镍矿供应紧张状况预期缓解，不锈钢价格区间震荡为主，主力运行区间参考13200-14200，价格上破驱动需要看到宏观刺激或明显去库。</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93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仓单压力未完全释放，反弹压力仍存</w:t>
      </w:r>
      <w:bookmarkEnd w:id="27"/>
    </w:p>
    <w:p>
      <w:pPr>
        <w:ind w:left="630" w:leftChars="300"/>
        <w:rPr>
          <w:rFonts w:ascii="楷体" w:hAnsi="楷体" w:eastAsia="楷体"/>
          <w:sz w:val="24"/>
          <w:szCs w:val="24"/>
        </w:rPr>
      </w:pPr>
      <w:r>
        <w:rPr>
          <w:rFonts w:hint="eastAsia" w:ascii="楷体" w:hAnsi="楷体" w:eastAsia="楷体"/>
          <w:sz w:val="24"/>
          <w:szCs w:val="24"/>
        </w:rPr>
        <w:t>10月24日，Si2412主力合约有所回落，收盘价12865元/吨，较上一收盘价涨跌幅-1.08%。从消息面来看，美国商务部于10月21日起启动变更情况审查，考虑部分撤销中国晶体硅光伏电池的反倾销税和反补贴税，同时传闻国内或对光伏各产业的能耗、产能利用率有所限制。从基本面来看，西南即将进入枯水期存在减产预期，北方存在新增产能投放预期，呈现南减北增格局，终端实际需求暂未出现明显改善，整体基本面改善存在改善预期，但改善或相对有限。展望后市，受利好政策消息刺激影响，市场情绪有所好转，叠加基本面确有改善预期，短期盘面或有支撑，但也要注意仓单压力暂未完全释放，叠加待投产一体化产能项目较多，上方存在套保盘压力。策略上，建议前期若有多单可以阶段性逐步止盈。</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16036"/>
      <w:r>
        <w:rPr>
          <w:rFonts w:hint="eastAsia" w:ascii="楷体" w:hAnsi="楷体" w:eastAsia="楷体"/>
          <w:b/>
          <w:color w:val="000000" w:themeColor="text1"/>
          <w:sz w:val="24"/>
          <w:szCs w:val="24"/>
          <w14:textFill>
            <w14:solidFill>
              <w14:schemeClr w14:val="tx1"/>
            </w14:solidFill>
          </w14:textFill>
        </w:rPr>
        <w:t>螺纹钢：基本面有所转弱，盘面或震荡运行</w:t>
      </w:r>
      <w:bookmarkEnd w:id="28"/>
    </w:p>
    <w:p>
      <w:pPr>
        <w:ind w:left="630" w:leftChars="300"/>
        <w:rPr>
          <w:rFonts w:ascii="楷体" w:hAnsi="楷体" w:eastAsia="楷体"/>
          <w:sz w:val="24"/>
          <w:szCs w:val="24"/>
        </w:rPr>
      </w:pPr>
      <w:r>
        <w:rPr>
          <w:rFonts w:hint="eastAsia" w:ascii="楷体" w:hAnsi="楷体" w:eastAsia="楷体"/>
          <w:sz w:val="24"/>
          <w:szCs w:val="24"/>
        </w:rPr>
        <w:t>从宏观面来看，上周住建部等五部门召开发布会，更多是对之前政策的延续，增量的政策低于市场预期，使得宏观情绪再度转弱。从基本面来看，钢厂产量增长，但市场需求有所走弱，国内钢材市场价格跌幅扩大，表明供需压力逐步加大，周内全国建材厂螺纹库存录得155.99万吨，较上一周增加11.92万吨，增加幅度达8.27%，基本面边际整体有所走弱，预计短期将震荡运行。</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2586"/>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11831"/>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主产区天气持续转好 胶水价格大跌</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宋卡地区的最新报价来看，目前各品类胶价假期整体出现较大回落，胶水价格回落尤为明显。伴随后续天气好转，降水减少，原料价格支撑或继续松动。库存方面，本周青岛港口小幅累库。下游需求方面，近期半钢胎开工恢复较好同时成品库存持续降库，或因双十一电商节到来下长途物流运输需求好转；半钢轮胎企业则得益于出口市场的强劲支撑和合理的库存水平而维持开工高景气。整体看，尽管四季度橡胶在基本面供小于求的支撑下以偏多头思路看待，但仍需持续关注东南亚主产区短期降水问题有出现缓和迹象，以及全钢胎阶段性需求较差的问题，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5269"/>
      <w:r>
        <w:rPr>
          <w:rFonts w:hint="eastAsia" w:ascii="Times New Roman" w:hAnsi="Times New Roman" w:eastAsia="楷体"/>
          <w:b/>
          <w:color w:val="000000" w:themeColor="text1"/>
          <w:sz w:val="24"/>
          <w:szCs w:val="24"/>
          <w14:textFill>
            <w14:solidFill>
              <w14:schemeClr w14:val="tx1"/>
            </w14:solidFill>
          </w14:textFill>
        </w:rPr>
        <w:t>聚烯烃：旺季需求提振有限，聚烯烃随原油波动为主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担心欧洲经济增长放缓可能会减少能源需求，中东冲突的不确定性使交易者在美国总统大选前紧张不安，欧美原油期在波动中继续弱势表现，聚烯烃成本支撑走弱，盘面震荡表现。福建联合、中韩石化等石化厂进入计划检修期，现阶段检修装置较多，PE开工率降低至偏低水平，PP开工率下降，其中PDH制PP开工率仍处于中下水平。预计未来开工率将回升。PE进口窗口打开，内外盘供应均有增量预期。下游需求旺季，终端刚需较好，但下游工厂延续刚需采购，上游生产企业去库较慢。短期预计聚烯烃区间整理。</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15944"/>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19337"/>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5208"/>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9989"/>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中东局势不稳定的影响仍存，原油市场暂无新的利好驱动出现，短线震荡偏弱。OPEC连续第三个月下调全球原油需求增速预测，中线市场交易逻辑回归原油市场供需过剩预期，或有进一步转弱风险。本周个别装置负荷小幅调整，至10.24 PTA负荷在80.5%。长丝短纤局部负荷提升及瓶片新增产能，综合来看聚酯负荷继续回升。截至10.24，初步核算国内大陆地区聚酯负荷在92 %附近，随着天气转冷下游开工小幅提升，10月PTA累库格局放缓供需格局改善。综合来看，目前供减需增，短期内受地缘局势发展及宏观商品氛围影响，跟随成本端波动。</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11524"/>
      <w:r>
        <w:rPr>
          <w:rFonts w:hint="eastAsia" w:ascii="Times New Roman" w:hAnsi="Times New Roman" w:eastAsia="楷体"/>
          <w:b/>
          <w:color w:val="000000" w:themeColor="text1"/>
          <w:sz w:val="24"/>
          <w:szCs w:val="24"/>
          <w14:textFill>
            <w14:solidFill>
              <w14:schemeClr w14:val="tx1"/>
            </w14:solidFill>
          </w14:textFill>
        </w:rPr>
        <w:t>乙二醇：开工回升叠加库存累积 震荡偏弱</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供需情况，据CCF10.21 华东主港地区MEG港口库存约63.7万吨附近，环比上周增加9.0万吨。截至10月24日，中国大陆地区乙二醇整体开工负荷在67.29%（-1.35%），其中草酸催化加氢法（合成气）制乙二醇开工负荷在63.85%（-0.39%）。下游聚酯开工情况来看，聚酯端负荷整体保持良好，截至10.24，初步核算国内大陆地区聚酯负荷在92%附近，尤其是长丝负荷持续较高。聚酯端库存来看，长丝促销效果显著，整体库存节前维持去化。终端开工情况来看，截止10.24江浙下游加弹、织造、印染负荷分别在93%、82%、86%，整体开工高位维持，织造端坯布整体新订单和出货量较节前多有提振。综合来看，开工小幅提升，后续到港压力增加港口库存将维持偏高水平，11供需结构偏累库，短期震荡偏弱。</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4352"/>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2875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期价震荡等待现货正向反馈</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整体延续分化，东北产区稳中有跌，华北产区与南北方港口稳中有涨；玉米期价夜盘小幅冲高后窄幅震荡，收盘变动不大。对于玉米而言，目前新作压力仍有待释放，市场或仍处于化解新作上市压力的被动去库存阶段但与此同时，市场利多逐步显现，包括华北小麦上涨和调节储备收购，再加上南方港口内外贸玉米库存偏低，这可能带动中下游贸易与需求企业被动或者主动补库存，继而抑制期现货下跌空间。在这种情况下，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玉米淀粉现货稳中有涨，局部地区报价上调20-50元不等；淀粉期价跟随玉米呈现震荡走势，淀粉-玉米价差亦变动不大。对于淀粉而言，影响淀粉-玉米价差的三个方面因素整体向好，副产品依然利多，行业供需因表观需求量即出库量带动行业库存大幅下降，原料端则转向偏多，因国庆长假一来华北玉米反弹，而东北玉米持续弱势，华北-东北玉米价差有望走扩。再加上现货基差及其盘面加工利润，我们倾向于淀粉-玉米价差有望趋于走扩。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0503"/>
      <w:r>
        <w:rPr>
          <w:rFonts w:hint="eastAsia" w:ascii="楷体" w:hAnsi="楷体" w:eastAsia="楷体"/>
          <w:b/>
          <w:bCs/>
          <w:color w:val="000000" w:themeColor="text1"/>
          <w14:textFill>
            <w14:solidFill>
              <w14:schemeClr w14:val="tx1"/>
            </w14:solidFill>
          </w14:textFill>
        </w:rPr>
        <w:t>畜禽养殖：生猪期价近强远弱</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涨跌互现，全国均价下跌0.04元至17.55元/斤；期价表现分化，近月相对强于远月。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3月合约已经跌至过去两年春节前后低点14元/公斤的水平。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考虑到气温的下降，再加上季节性因素，生猪需求或有所改善。在这种情况下，我们持谨慎看多观点。</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继续稳定，其中主产区均价持平在4.78元/斤，主销区均价持平在4.96元/斤；期价震荡偏弱，多数合约小幅收跌。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谨慎投资者观望，激进投资者可考虑持有近月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0897"/>
      <w:r>
        <w:rPr>
          <w:rFonts w:hint="eastAsia" w:ascii="楷体" w:hAnsi="楷体" w:eastAsia="楷体"/>
          <w:b/>
          <w:bCs/>
          <w:color w:val="000000" w:themeColor="text1"/>
          <w14:textFill>
            <w14:solidFill>
              <w14:schemeClr w14:val="tx1"/>
            </w14:solidFill>
          </w14:textFill>
        </w:rPr>
        <w:t>白糖：国际糖价大跌，郑糖震荡整理</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下跌0.94%，伦敦白砂糖主力合约下跌0.48%，郑糖2501主力合约下跌0.81%。国内，旧作库存十分紧张，贸易商挺价。新季白糖尽管因台风天气产量下修，但整体仍是丰产预期，产量预期在千万吨以上，限制白糖反弹高度。预计短期高位区间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7048"/>
      <w:r>
        <w:rPr>
          <w:rFonts w:hint="eastAsia" w:ascii="楷体" w:hAnsi="楷体" w:eastAsia="楷体"/>
          <w:b/>
          <w:bCs/>
          <w:color w:val="000000" w:themeColor="text1"/>
          <w14:textFill>
            <w14:solidFill>
              <w14:schemeClr w14:val="tx1"/>
            </w14:solidFill>
          </w14:textFill>
        </w:rPr>
        <w:t>棉花：预计郑棉区间震荡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上下跌1.16%，郑棉2501主力合约下跌0.81%。截至10月17日一周，美国本年度陆地棉净签约3.8万吨，装运2.2万吨。其中至中国签约6237吨，装运862吨。尽管出口数据回暖，但仍不敌商品整体弱势对美棉造成的影响。国内，9月进口减少，但本年度棉花丰产，产量预计同比增加5%-7%，供应依然充沛。籽棉收购价相对稳定，集中在6.2-6.4元/公斤区间。轧花厂依然持谨慎态度，风险偏好低。丰产预期叠加套保压力，棉花区间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32482"/>
      <w:r>
        <w:rPr>
          <w:rFonts w:hint="eastAsia" w:ascii="楷体" w:hAnsi="楷体" w:eastAsia="楷体"/>
          <w:b/>
          <w:bCs/>
          <w:color w:val="000000" w:themeColor="text1"/>
          <w14:textFill>
            <w14:solidFill>
              <w14:schemeClr w14:val="tx1"/>
            </w14:solidFill>
          </w14:textFill>
        </w:rPr>
        <w:t>蛋白粕：粕类走势略分化，基本面来看偏弱运行</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上涨0.02%，期价持续上涨回调。国内夜盘豆二上涨0.19%，豆粕下跌0.30%；菜籽下跌0.48%，菜粕上涨0.08%。USDA周四公布出口销售报告，截止10月17日当周，美国当前市场年度大豆出口销售净增215.17万吨，较之前一周增加26%，较前四周均值增加47%。国内菜籽方面，前期反倾销消息引发市场对供应短缺的担忧，9月进口同比增151.17%，创历史最高纪录，供应充足。两粕自身基本面来看，豆粕库存消耗，但上游油料供应非常充足；菜粕需求疲弱。长期来看，粕类依旧偏弱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11540"/>
      <w:r>
        <w:rPr>
          <w:rFonts w:hint="eastAsia" w:ascii="楷体" w:hAnsi="楷体" w:eastAsia="楷体"/>
          <w:b/>
          <w:bCs/>
          <w:color w:val="000000" w:themeColor="text1"/>
          <w14:textFill>
            <w14:solidFill>
              <w14:schemeClr w14:val="tx1"/>
            </w14:solidFill>
          </w14:textFill>
        </w:rPr>
        <w:t>油脂类：警惕多头获利离场，棕油回落</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1.28%，菜油上涨1.53%，棕榈油上涨1.61%，马棕下跌0.39%，各油脂均开盘冲高后回落。棕油主产国相关政策使其产量有长期偏紧预期；国内棕油到港偏慢，累库速度缓慢。长期棕油价格有支撑，但近期多头势头较猛，需警惕多头获利离场后期价回落调整，留意今日公布的马棕油10月1-25日出口数据。豆油方面，10月到港量较9月下降，后续有继续下降预期；需求季节性好转，供需宽松边际递减。中长期豆油价格上有压力下有支撑，整体高位震荡。菜油方面，四季度菜籽、菜油到港充足，供应端有压力。总体而言，棕油表现最强，长期有较为明确的看涨趋势。</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1902"/>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16508"/>
      <w:r>
        <w:rPr>
          <w:rFonts w:hint="eastAsia" w:ascii="Times New Roman" w:hAnsi="Times New Roman" w:eastAsia="楷体"/>
          <w:b/>
          <w:color w:val="000000" w:themeColor="text1"/>
          <w:sz w:val="24"/>
          <w:szCs w:val="24"/>
          <w14:textFill>
            <w14:solidFill>
              <w14:schemeClr w14:val="tx1"/>
            </w14:solidFill>
          </w14:textFill>
        </w:rPr>
        <w:t>集运指数（欧线）：期价大幅上涨，短线或宽幅震荡</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期价大幅上涨，12合约涨7.90%至3213.3，远月合约涨约5%。部分货主赶于提价前集中发货，十月底航次出现爆舱情况。11月船司40GP现舱报价平均约4540美元，但市场对相对高价的接受程度或仍较有限。10月18日，上海港出口至欧洲基本港市场运价（海运及海运附加费）为1950美元/TEU，较上期下跌4.4%。10月18日，上海航运交易所发布的上海出口集装箱综合运价指数为2062.15点，持平上期。后续继续关注进入11月后实际订舱需求，短线期价或宽幅震荡，多空博弈期间留意短期波动加剧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19667"/>
      <w:bookmarkStart w:id="48" w:name="_Toc71212556"/>
      <w:bookmarkStart w:id="49" w:name="_Toc98426751"/>
      <w:bookmarkStart w:id="50" w:name="_Toc72481108"/>
      <w:bookmarkStart w:id="51" w:name="_Toc12779"/>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2024年10月25日星期五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2024-10-25T02:57:40Z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