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2" w:name="_GoBack"/>
          <w:bookmarkEnd w:id="52"/>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_Toc22453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_Toc16970 </w:instrText>
          </w:r>
          <w:r>
            <w:rPr>
              <w:bCs/>
            </w:rPr>
            <w:fldChar w:fldCharType="separate"/>
          </w:r>
          <w:r>
            <w:rPr>
              <w:rFonts w:hint="eastAsia" w:ascii="Times New Roman" w:hAnsi="Times New Roman" w:eastAsia="楷体"/>
              <w:szCs w:val="24"/>
            </w:rPr>
            <w:t>股指：震荡</w:t>
          </w:r>
          <w:r>
            <w:rPr>
              <w:bCs/>
            </w:rPr>
            <w:fldChar w:fldCharType="end"/>
          </w:r>
        </w:p>
        <w:p>
          <w:pPr>
            <w:pStyle w:val="59"/>
            <w:tabs>
              <w:tab w:val="right" w:leader="dot" w:pos="8306"/>
            </w:tabs>
          </w:pPr>
          <w:r>
            <w:rPr>
              <w:bCs/>
            </w:rPr>
            <w:fldChar w:fldCharType="begin"/>
          </w:r>
          <w:r>
            <w:rPr>
              <w:bCs/>
            </w:rPr>
            <w:instrText xml:space="preserve"> HYPERLINK \l _Toc3742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_Toc25821 </w:instrText>
          </w:r>
          <w:r>
            <w:rPr>
              <w:bCs/>
            </w:rPr>
            <w:fldChar w:fldCharType="separate"/>
          </w:r>
          <w:r>
            <w:rPr>
              <w:rFonts w:hint="eastAsia" w:ascii="Times New Roman" w:hAnsi="Times New Roman" w:eastAsia="楷体"/>
              <w:szCs w:val="24"/>
            </w:rPr>
            <w:t>贵金属：黄金波动率小幅上升，沪金价格上涨</w:t>
          </w:r>
          <w:r>
            <w:rPr>
              <w:bCs/>
            </w:rPr>
            <w:fldChar w:fldCharType="end"/>
          </w:r>
        </w:p>
        <w:p>
          <w:pPr>
            <w:pStyle w:val="59"/>
            <w:tabs>
              <w:tab w:val="right" w:leader="dot" w:pos="8306"/>
            </w:tabs>
          </w:pPr>
          <w:r>
            <w:rPr>
              <w:bCs/>
            </w:rPr>
            <w:fldChar w:fldCharType="begin"/>
          </w:r>
          <w:r>
            <w:rPr>
              <w:bCs/>
            </w:rPr>
            <w:instrText xml:space="preserve"> HYPERLINK \l _Toc21017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_Toc5480 </w:instrText>
          </w:r>
          <w:r>
            <w:rPr>
              <w:bCs/>
            </w:rPr>
            <w:fldChar w:fldCharType="separate"/>
          </w:r>
          <w:r>
            <w:rPr>
              <w:rFonts w:hint="eastAsia" w:ascii="楷体" w:hAnsi="楷体" w:eastAsia="楷体"/>
              <w:szCs w:val="24"/>
            </w:rPr>
            <w:t>碳酸锂：现货价格微跌，期价小幅下行</w:t>
          </w:r>
          <w:r>
            <w:rPr>
              <w:bCs/>
            </w:rPr>
            <w:fldChar w:fldCharType="end"/>
          </w:r>
        </w:p>
        <w:p>
          <w:pPr>
            <w:pStyle w:val="74"/>
            <w:tabs>
              <w:tab w:val="right" w:leader="dot" w:pos="8306"/>
            </w:tabs>
          </w:pPr>
          <w:r>
            <w:rPr>
              <w:bCs/>
            </w:rPr>
            <w:fldChar w:fldCharType="begin"/>
          </w:r>
          <w:r>
            <w:rPr>
              <w:bCs/>
            </w:rPr>
            <w:instrText xml:space="preserve"> HYPERLINK \l _Toc22950 </w:instrText>
          </w:r>
          <w:r>
            <w:rPr>
              <w:bCs/>
            </w:rPr>
            <w:fldChar w:fldCharType="separate"/>
          </w:r>
          <w:r>
            <w:rPr>
              <w:rFonts w:hint="eastAsia" w:ascii="楷体" w:hAnsi="楷体" w:eastAsia="楷体"/>
              <w:szCs w:val="24"/>
            </w:rPr>
            <w:t>铝：窄幅震荡盘整</w:t>
          </w:r>
          <w:r>
            <w:rPr>
              <w:bCs/>
            </w:rPr>
            <w:fldChar w:fldCharType="end"/>
          </w:r>
        </w:p>
        <w:p>
          <w:pPr>
            <w:pStyle w:val="74"/>
            <w:tabs>
              <w:tab w:val="right" w:leader="dot" w:pos="8306"/>
            </w:tabs>
          </w:pPr>
          <w:r>
            <w:rPr>
              <w:bCs/>
            </w:rPr>
            <w:fldChar w:fldCharType="begin"/>
          </w:r>
          <w:r>
            <w:rPr>
              <w:bCs/>
            </w:rPr>
            <w:instrText xml:space="preserve"> HYPERLINK \l _Toc5341 </w:instrText>
          </w:r>
          <w:r>
            <w:rPr>
              <w:bCs/>
            </w:rPr>
            <w:fldChar w:fldCharType="separate"/>
          </w:r>
          <w:r>
            <w:rPr>
              <w:rFonts w:hint="eastAsia" w:ascii="楷体" w:hAnsi="楷体" w:eastAsia="楷体"/>
              <w:szCs w:val="24"/>
            </w:rPr>
            <w:t>锌：锌价保持高位震荡</w:t>
          </w:r>
          <w:r>
            <w:rPr>
              <w:bCs/>
            </w:rPr>
            <w:fldChar w:fldCharType="end"/>
          </w:r>
        </w:p>
        <w:p>
          <w:pPr>
            <w:pStyle w:val="74"/>
            <w:tabs>
              <w:tab w:val="right" w:leader="dot" w:pos="8306"/>
            </w:tabs>
          </w:pPr>
          <w:r>
            <w:rPr>
              <w:bCs/>
            </w:rPr>
            <w:fldChar w:fldCharType="begin"/>
          </w:r>
          <w:r>
            <w:rPr>
              <w:bCs/>
            </w:rPr>
            <w:instrText xml:space="preserve"> HYPERLINK \l _Toc29714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：窄幅震荡等待新驱动</w:t>
          </w:r>
          <w:r>
            <w:rPr>
              <w:bCs/>
            </w:rPr>
            <w:fldChar w:fldCharType="end"/>
          </w:r>
        </w:p>
        <w:p>
          <w:pPr>
            <w:pStyle w:val="74"/>
            <w:tabs>
              <w:tab w:val="right" w:leader="dot" w:pos="8306"/>
            </w:tabs>
          </w:pPr>
          <w:r>
            <w:rPr>
              <w:bCs/>
            </w:rPr>
            <w:fldChar w:fldCharType="begin"/>
          </w:r>
          <w:r>
            <w:rPr>
              <w:bCs/>
            </w:rPr>
            <w:instrText xml:space="preserve"> HYPERLINK \l _Toc27096 </w:instrText>
          </w:r>
          <w:r>
            <w:rPr>
              <w:bCs/>
            </w:rPr>
            <w:fldChar w:fldCharType="separate"/>
          </w:r>
          <w:r>
            <w:rPr>
              <w:rFonts w:hint="eastAsia" w:ascii="楷体" w:hAnsi="楷体" w:eastAsia="楷体"/>
              <w:szCs w:val="24"/>
            </w:rPr>
            <w:t>镍：维持震荡偏弱思路，关注宏观叙事</w:t>
          </w:r>
          <w:r>
            <w:rPr>
              <w:bCs/>
            </w:rPr>
            <w:fldChar w:fldCharType="end"/>
          </w:r>
        </w:p>
        <w:p>
          <w:pPr>
            <w:pStyle w:val="74"/>
            <w:tabs>
              <w:tab w:val="right" w:leader="dot" w:pos="8306"/>
            </w:tabs>
          </w:pPr>
          <w:r>
            <w:rPr>
              <w:bCs/>
            </w:rPr>
            <w:fldChar w:fldCharType="begin"/>
          </w:r>
          <w:r>
            <w:rPr>
              <w:bCs/>
            </w:rPr>
            <w:instrText xml:space="preserve"> HYPERLINK \l _Toc15492 </w:instrText>
          </w:r>
          <w:r>
            <w:rPr>
              <w:bCs/>
            </w:rPr>
            <w:fldChar w:fldCharType="separate"/>
          </w:r>
          <w:r>
            <w:rPr>
              <w:rFonts w:hint="eastAsia" w:ascii="楷体" w:hAnsi="楷体" w:eastAsia="楷体"/>
              <w:szCs w:val="24"/>
            </w:rPr>
            <w:t>锡：高位震荡</w:t>
          </w:r>
          <w:r>
            <w:rPr>
              <w:bCs/>
            </w:rPr>
            <w:fldChar w:fldCharType="end"/>
          </w:r>
        </w:p>
        <w:p>
          <w:pPr>
            <w:pStyle w:val="74"/>
            <w:tabs>
              <w:tab w:val="right" w:leader="dot" w:pos="8306"/>
            </w:tabs>
          </w:pPr>
          <w:r>
            <w:rPr>
              <w:bCs/>
            </w:rPr>
            <w:fldChar w:fldCharType="begin"/>
          </w:r>
          <w:r>
            <w:rPr>
              <w:bCs/>
            </w:rPr>
            <w:instrText xml:space="preserve"> HYPERLINK \l _Toc7669 </w:instrText>
          </w:r>
          <w:r>
            <w:rPr>
              <w:bCs/>
            </w:rPr>
            <w:fldChar w:fldCharType="separate"/>
          </w:r>
          <w:r>
            <w:rPr>
              <w:rFonts w:hint="eastAsia" w:ascii="楷体" w:hAnsi="楷体" w:eastAsia="楷体"/>
              <w:szCs w:val="24"/>
            </w:rPr>
            <w:t>铅：供需走弱与成本支撑交织，铅价或震荡运行</w:t>
          </w:r>
          <w:r>
            <w:rPr>
              <w:bCs/>
            </w:rPr>
            <w:fldChar w:fldCharType="end"/>
          </w:r>
        </w:p>
        <w:p>
          <w:pPr>
            <w:pStyle w:val="74"/>
            <w:tabs>
              <w:tab w:val="right" w:leader="dot" w:pos="8306"/>
            </w:tabs>
          </w:pPr>
          <w:r>
            <w:rPr>
              <w:bCs/>
            </w:rPr>
            <w:fldChar w:fldCharType="begin"/>
          </w:r>
          <w:r>
            <w:rPr>
              <w:bCs/>
            </w:rPr>
            <w:instrText xml:space="preserve"> HYPERLINK \l _Toc19701 </w:instrText>
          </w:r>
          <w:r>
            <w:rPr>
              <w:bCs/>
            </w:rPr>
            <w:fldChar w:fldCharType="separate"/>
          </w:r>
          <w:r>
            <w:rPr>
              <w:rFonts w:hint="eastAsia" w:ascii="楷体" w:hAnsi="楷体" w:eastAsia="楷体"/>
              <w:szCs w:val="24"/>
            </w:rPr>
            <w:t>不锈钢：弱需求与高成本，期价上下两难</w:t>
          </w:r>
          <w:r>
            <w:rPr>
              <w:bCs/>
            </w:rPr>
            <w:fldChar w:fldCharType="end"/>
          </w:r>
        </w:p>
        <w:p>
          <w:pPr>
            <w:pStyle w:val="74"/>
            <w:tabs>
              <w:tab w:val="right" w:leader="dot" w:pos="8306"/>
            </w:tabs>
          </w:pPr>
          <w:r>
            <w:rPr>
              <w:bCs/>
            </w:rPr>
            <w:fldChar w:fldCharType="begin"/>
          </w:r>
          <w:r>
            <w:rPr>
              <w:bCs/>
            </w:rPr>
            <w:instrText xml:space="preserve"> HYPERLINK \l _Toc26348 </w:instrText>
          </w:r>
          <w:r>
            <w:rPr>
              <w:bCs/>
            </w:rPr>
            <w:fldChar w:fldCharType="separate"/>
          </w:r>
          <w:r>
            <w:rPr>
              <w:rFonts w:hint="eastAsia" w:ascii="楷体" w:hAnsi="楷体" w:eastAsia="楷体"/>
              <w:szCs w:val="24"/>
            </w:rPr>
            <w:t>工业硅：行业库存较高，反弹高度受限</w:t>
          </w:r>
          <w:r>
            <w:rPr>
              <w:bCs/>
            </w:rPr>
            <w:fldChar w:fldCharType="end"/>
          </w:r>
        </w:p>
        <w:p>
          <w:pPr>
            <w:pStyle w:val="74"/>
            <w:tabs>
              <w:tab w:val="right" w:leader="dot" w:pos="8306"/>
            </w:tabs>
          </w:pPr>
          <w:r>
            <w:rPr>
              <w:bCs/>
            </w:rPr>
            <w:fldChar w:fldCharType="begin"/>
          </w:r>
          <w:r>
            <w:rPr>
              <w:bCs/>
            </w:rPr>
            <w:instrText xml:space="preserve"> HYPERLINK \l _Toc341 </w:instrText>
          </w:r>
          <w:r>
            <w:rPr>
              <w:bCs/>
            </w:rPr>
            <w:fldChar w:fldCharType="separate"/>
          </w:r>
          <w:r>
            <w:rPr>
              <w:rFonts w:hint="eastAsia" w:ascii="楷体" w:hAnsi="楷体" w:eastAsia="楷体"/>
              <w:szCs w:val="24"/>
            </w:rPr>
            <w:t>螺纹钢：政策预期升温，短期或震荡偏强</w:t>
          </w:r>
          <w:r>
            <w:rPr>
              <w:bCs/>
            </w:rPr>
            <w:fldChar w:fldCharType="end"/>
          </w:r>
        </w:p>
        <w:p>
          <w:pPr>
            <w:pStyle w:val="59"/>
            <w:tabs>
              <w:tab w:val="right" w:leader="dot" w:pos="8306"/>
            </w:tabs>
          </w:pPr>
          <w:r>
            <w:rPr>
              <w:bCs/>
            </w:rPr>
            <w:fldChar w:fldCharType="begin"/>
          </w:r>
          <w:r>
            <w:rPr>
              <w:bCs/>
            </w:rPr>
            <w:instrText xml:space="preserve"> HYPERLINK \l _Toc8606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_Toc14572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主产区降水持续减少 天胶供应存上量预期</w:t>
          </w:r>
          <w:r>
            <w:rPr>
              <w:bCs/>
            </w:rPr>
            <w:fldChar w:fldCharType="end"/>
          </w:r>
        </w:p>
        <w:p>
          <w:pPr>
            <w:pStyle w:val="74"/>
            <w:tabs>
              <w:tab w:val="right" w:leader="dot" w:pos="8306"/>
            </w:tabs>
          </w:pPr>
          <w:r>
            <w:rPr>
              <w:bCs/>
            </w:rPr>
            <w:fldChar w:fldCharType="begin"/>
          </w:r>
          <w:r>
            <w:rPr>
              <w:bCs/>
            </w:rPr>
            <w:instrText xml:space="preserve"> HYPERLINK \l _Toc30322 </w:instrText>
          </w:r>
          <w:r>
            <w:rPr>
              <w:bCs/>
            </w:rPr>
            <w:fldChar w:fldCharType="separate"/>
          </w:r>
          <w:r>
            <w:rPr>
              <w:rFonts w:hint="eastAsia" w:ascii="Times New Roman" w:hAnsi="Times New Roman" w:eastAsia="楷体"/>
              <w:szCs w:val="24"/>
            </w:rPr>
            <w:t>聚烯烃：旺季需求即将结束，聚烯烃随原油波动为主</w:t>
          </w:r>
          <w:r>
            <w:rPr>
              <w:bCs/>
            </w:rPr>
            <w:fldChar w:fldCharType="end"/>
          </w:r>
        </w:p>
        <w:p>
          <w:pPr>
            <w:pStyle w:val="74"/>
            <w:tabs>
              <w:tab w:val="right" w:leader="dot" w:pos="8306"/>
            </w:tabs>
          </w:pPr>
          <w:r>
            <w:rPr>
              <w:bCs/>
            </w:rPr>
            <w:fldChar w:fldCharType="begin"/>
          </w:r>
          <w:r>
            <w:rPr>
              <w:bCs/>
            </w:rPr>
            <w:instrText xml:space="preserve"> HYPERLINK \l _Toc12222 </w:instrText>
          </w:r>
          <w:r>
            <w:rPr>
              <w:bCs/>
            </w:rPr>
            <w:fldChar w:fldCharType="separate"/>
          </w:r>
          <w:r>
            <w:rPr>
              <w:rFonts w:hint="eastAsia" w:ascii="Times New Roman" w:hAnsi="Times New Roman" w:eastAsia="楷体"/>
              <w:szCs w:val="24"/>
            </w:rPr>
            <w:t>原油：飓风Francine助力，原油期货强势反弹</w:t>
          </w:r>
          <w:r>
            <w:rPr>
              <w:bCs/>
            </w:rPr>
            <w:fldChar w:fldCharType="end"/>
          </w:r>
        </w:p>
        <w:p>
          <w:pPr>
            <w:pStyle w:val="74"/>
            <w:tabs>
              <w:tab w:val="right" w:leader="dot" w:pos="8306"/>
            </w:tabs>
          </w:pPr>
          <w:r>
            <w:rPr>
              <w:bCs/>
            </w:rPr>
            <w:fldChar w:fldCharType="begin"/>
          </w:r>
          <w:r>
            <w:rPr>
              <w:bCs/>
            </w:rPr>
            <w:instrText xml:space="preserve"> HYPERLINK \l _Toc31156 </w:instrText>
          </w:r>
          <w:r>
            <w:rPr>
              <w:bCs/>
            </w:rPr>
            <w:fldChar w:fldCharType="separate"/>
          </w:r>
          <w:r>
            <w:rPr>
              <w:rFonts w:hint="eastAsia" w:ascii="Times New Roman" w:hAnsi="Times New Roman" w:eastAsia="楷体"/>
              <w:szCs w:val="24"/>
            </w:rPr>
            <w:t>燃料油及低硫燃料油：燃料油期货夜盘上扬，弱势格局待破局</w:t>
          </w:r>
          <w:r>
            <w:rPr>
              <w:bCs/>
            </w:rPr>
            <w:fldChar w:fldCharType="end"/>
          </w:r>
        </w:p>
        <w:p>
          <w:pPr>
            <w:pStyle w:val="74"/>
            <w:tabs>
              <w:tab w:val="right" w:leader="dot" w:pos="8306"/>
            </w:tabs>
          </w:pPr>
          <w:r>
            <w:rPr>
              <w:bCs/>
            </w:rPr>
            <w:fldChar w:fldCharType="begin"/>
          </w:r>
          <w:r>
            <w:rPr>
              <w:bCs/>
            </w:rPr>
            <w:instrText xml:space="preserve"> HYPERLINK \l _Toc6127 </w:instrText>
          </w:r>
          <w:r>
            <w:rPr>
              <w:bCs/>
            </w:rPr>
            <w:fldChar w:fldCharType="separate"/>
          </w:r>
          <w:r>
            <w:rPr>
              <w:rFonts w:hint="eastAsia" w:ascii="Times New Roman" w:hAnsi="Times New Roman" w:eastAsia="楷体"/>
              <w:szCs w:val="24"/>
            </w:rPr>
            <w:t>沥青：沥青期货价格上扬，弱稳格局待突破</w:t>
          </w:r>
          <w:r>
            <w:rPr>
              <w:bCs/>
            </w:rPr>
            <w:fldChar w:fldCharType="end"/>
          </w:r>
        </w:p>
        <w:p>
          <w:pPr>
            <w:pStyle w:val="74"/>
            <w:tabs>
              <w:tab w:val="right" w:leader="dot" w:pos="8306"/>
            </w:tabs>
          </w:pPr>
          <w:r>
            <w:rPr>
              <w:bCs/>
            </w:rPr>
            <w:fldChar w:fldCharType="begin"/>
          </w:r>
          <w:r>
            <w:rPr>
              <w:bCs/>
            </w:rPr>
            <w:instrText xml:space="preserve"> HYPERLINK \l _Toc28632 </w:instrText>
          </w:r>
          <w:r>
            <w:rPr>
              <w:bCs/>
            </w:rPr>
            <w:fldChar w:fldCharType="separate"/>
          </w:r>
          <w:r>
            <w:rPr>
              <w:rFonts w:hint="eastAsia" w:ascii="Times New Roman" w:hAnsi="Times New Roman" w:eastAsia="楷体"/>
              <w:szCs w:val="24"/>
            </w:rPr>
            <w:t>PTA：跟随宏观及成本端波动</w:t>
          </w:r>
          <w:r>
            <w:rPr>
              <w:bCs/>
            </w:rPr>
            <w:fldChar w:fldCharType="end"/>
          </w:r>
        </w:p>
        <w:p>
          <w:pPr>
            <w:pStyle w:val="74"/>
            <w:tabs>
              <w:tab w:val="right" w:leader="dot" w:pos="8306"/>
            </w:tabs>
          </w:pPr>
          <w:r>
            <w:rPr>
              <w:bCs/>
            </w:rPr>
            <w:fldChar w:fldCharType="begin"/>
          </w:r>
          <w:r>
            <w:rPr>
              <w:bCs/>
            </w:rPr>
            <w:instrText xml:space="preserve"> HYPERLINK \l _Toc7043 </w:instrText>
          </w:r>
          <w:r>
            <w:rPr>
              <w:bCs/>
            </w:rPr>
            <w:fldChar w:fldCharType="separate"/>
          </w:r>
          <w:r>
            <w:rPr>
              <w:rFonts w:hint="eastAsia" w:ascii="Times New Roman" w:hAnsi="Times New Roman" w:eastAsia="楷体"/>
              <w:szCs w:val="24"/>
            </w:rPr>
            <w:t>乙二醇：成本下行叠加库存累积 震荡偏弱</w:t>
          </w:r>
          <w:r>
            <w:rPr>
              <w:bCs/>
            </w:rPr>
            <w:fldChar w:fldCharType="end"/>
          </w:r>
        </w:p>
        <w:p>
          <w:pPr>
            <w:pStyle w:val="59"/>
            <w:tabs>
              <w:tab w:val="right" w:leader="dot" w:pos="8306"/>
            </w:tabs>
          </w:pPr>
          <w:r>
            <w:rPr>
              <w:bCs/>
            </w:rPr>
            <w:fldChar w:fldCharType="begin"/>
          </w:r>
          <w:r>
            <w:rPr>
              <w:bCs/>
            </w:rPr>
            <w:instrText xml:space="preserve"> HYPERLINK \l _Toc23746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_Toc28912 </w:instrText>
          </w:r>
          <w:r>
            <w:rPr>
              <w:bCs/>
            </w:rPr>
            <w:fldChar w:fldCharType="separate"/>
          </w:r>
          <w:r>
            <w:rPr>
              <w:rFonts w:hint="eastAsia" w:ascii="楷体" w:hAnsi="楷体" w:eastAsia="楷体"/>
              <w:bCs/>
            </w:rPr>
            <w:t>玉米与淀粉：</w:t>
          </w:r>
          <w:r>
            <w:rPr>
              <w:rFonts w:hint="eastAsia" w:ascii="楷体" w:hAnsi="楷体" w:eastAsia="楷体"/>
            </w:rPr>
            <w:t>期价继续上涨</w:t>
          </w:r>
          <w:r>
            <w:rPr>
              <w:bCs/>
            </w:rPr>
            <w:fldChar w:fldCharType="end"/>
          </w:r>
        </w:p>
        <w:p>
          <w:pPr>
            <w:pStyle w:val="74"/>
            <w:tabs>
              <w:tab w:val="right" w:leader="dot" w:pos="8306"/>
            </w:tabs>
          </w:pPr>
          <w:r>
            <w:rPr>
              <w:bCs/>
            </w:rPr>
            <w:fldChar w:fldCharType="begin"/>
          </w:r>
          <w:r>
            <w:rPr>
              <w:bCs/>
            </w:rPr>
            <w:instrText xml:space="preserve"> HYPERLINK \l _Toc32403 </w:instrText>
          </w:r>
          <w:r>
            <w:rPr>
              <w:bCs/>
            </w:rPr>
            <w:fldChar w:fldCharType="separate"/>
          </w:r>
          <w:r>
            <w:rPr>
              <w:rFonts w:hint="eastAsia" w:ascii="楷体" w:hAnsi="楷体" w:eastAsia="楷体"/>
              <w:bCs/>
            </w:rPr>
            <w:t>畜禽养殖：期价近强远弱表现分化</w:t>
          </w:r>
          <w:r>
            <w:rPr>
              <w:bCs/>
            </w:rPr>
            <w:fldChar w:fldCharType="end"/>
          </w:r>
        </w:p>
        <w:p>
          <w:pPr>
            <w:pStyle w:val="74"/>
            <w:tabs>
              <w:tab w:val="right" w:leader="dot" w:pos="8306"/>
            </w:tabs>
          </w:pPr>
          <w:r>
            <w:rPr>
              <w:bCs/>
            </w:rPr>
            <w:fldChar w:fldCharType="begin"/>
          </w:r>
          <w:r>
            <w:rPr>
              <w:bCs/>
            </w:rPr>
            <w:instrText xml:space="preserve"> HYPERLINK \l _Toc16725 </w:instrText>
          </w:r>
          <w:r>
            <w:rPr>
              <w:bCs/>
            </w:rPr>
            <w:fldChar w:fldCharType="separate"/>
          </w:r>
          <w:r>
            <w:rPr>
              <w:rFonts w:hint="eastAsia" w:ascii="楷体" w:hAnsi="楷体" w:eastAsia="楷体"/>
              <w:bCs/>
            </w:rPr>
            <w:t>白糖：内外糖价震荡整理</w:t>
          </w:r>
          <w:r>
            <w:rPr>
              <w:bCs/>
            </w:rPr>
            <w:fldChar w:fldCharType="end"/>
          </w:r>
        </w:p>
        <w:p>
          <w:pPr>
            <w:pStyle w:val="74"/>
            <w:tabs>
              <w:tab w:val="right" w:leader="dot" w:pos="8306"/>
            </w:tabs>
          </w:pPr>
          <w:r>
            <w:rPr>
              <w:bCs/>
            </w:rPr>
            <w:fldChar w:fldCharType="begin"/>
          </w:r>
          <w:r>
            <w:rPr>
              <w:bCs/>
            </w:rPr>
            <w:instrText xml:space="preserve"> HYPERLINK \l _Toc6016 </w:instrText>
          </w:r>
          <w:r>
            <w:rPr>
              <w:bCs/>
            </w:rPr>
            <w:fldChar w:fldCharType="separate"/>
          </w:r>
          <w:r>
            <w:rPr>
              <w:rFonts w:hint="eastAsia" w:ascii="楷体" w:hAnsi="楷体" w:eastAsia="楷体"/>
              <w:bCs/>
            </w:rPr>
            <w:t>棉花：预计郑棉围绕1.4关口震荡</w:t>
          </w:r>
          <w:r>
            <w:rPr>
              <w:bCs/>
            </w:rPr>
            <w:fldChar w:fldCharType="end"/>
          </w:r>
        </w:p>
        <w:p>
          <w:pPr>
            <w:pStyle w:val="74"/>
            <w:tabs>
              <w:tab w:val="right" w:leader="dot" w:pos="8306"/>
            </w:tabs>
          </w:pPr>
          <w:r>
            <w:rPr>
              <w:bCs/>
            </w:rPr>
            <w:fldChar w:fldCharType="begin"/>
          </w:r>
          <w:r>
            <w:rPr>
              <w:bCs/>
            </w:rPr>
            <w:instrText xml:space="preserve"> HYPERLINK \l _Toc21846 </w:instrText>
          </w:r>
          <w:r>
            <w:rPr>
              <w:bCs/>
            </w:rPr>
            <w:fldChar w:fldCharType="separate"/>
          </w:r>
          <w:r>
            <w:rPr>
              <w:rFonts w:hint="eastAsia" w:ascii="楷体" w:hAnsi="楷体" w:eastAsia="楷体"/>
              <w:bCs/>
            </w:rPr>
            <w:t>蛋白粕：短期受消息面提振，长线依旧偏弱</w:t>
          </w:r>
          <w:r>
            <w:rPr>
              <w:bCs/>
            </w:rPr>
            <w:fldChar w:fldCharType="end"/>
          </w:r>
        </w:p>
        <w:p>
          <w:pPr>
            <w:pStyle w:val="74"/>
            <w:tabs>
              <w:tab w:val="right" w:leader="dot" w:pos="8306"/>
            </w:tabs>
          </w:pPr>
          <w:r>
            <w:rPr>
              <w:bCs/>
            </w:rPr>
            <w:fldChar w:fldCharType="begin"/>
          </w:r>
          <w:r>
            <w:rPr>
              <w:bCs/>
            </w:rPr>
            <w:instrText xml:space="preserve"> HYPERLINK \l _Toc18368 </w:instrText>
          </w:r>
          <w:r>
            <w:rPr>
              <w:bCs/>
            </w:rPr>
            <w:fldChar w:fldCharType="separate"/>
          </w:r>
          <w:r>
            <w:rPr>
              <w:rFonts w:hint="eastAsia" w:ascii="楷体" w:hAnsi="楷体" w:eastAsia="楷体"/>
              <w:bCs/>
            </w:rPr>
            <w:t>油脂类：棕榈油涨幅放缓，但依旧最强</w:t>
          </w:r>
          <w:r>
            <w:rPr>
              <w:bCs/>
            </w:rPr>
            <w:fldChar w:fldCharType="end"/>
          </w:r>
        </w:p>
        <w:p>
          <w:pPr>
            <w:pStyle w:val="59"/>
            <w:tabs>
              <w:tab w:val="right" w:leader="dot" w:pos="8306"/>
            </w:tabs>
          </w:pPr>
          <w:r>
            <w:rPr>
              <w:bCs/>
            </w:rPr>
            <w:fldChar w:fldCharType="begin"/>
          </w:r>
          <w:r>
            <w:rPr>
              <w:bCs/>
            </w:rPr>
            <w:instrText xml:space="preserve"> HYPERLINK \l _Toc26092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_Toc32666 </w:instrText>
          </w:r>
          <w:r>
            <w:rPr>
              <w:bCs/>
            </w:rPr>
            <w:fldChar w:fldCharType="separate"/>
          </w:r>
          <w:r>
            <w:rPr>
              <w:rFonts w:hint="eastAsia" w:ascii="Times New Roman" w:hAnsi="Times New Roman" w:eastAsia="楷体"/>
              <w:szCs w:val="24"/>
            </w:rPr>
            <w:t>集运指数（欧线）：关注后续运价走势，期价小幅反弹</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22453"/>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16970"/>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震荡</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短期市场总体波动率已下降，但仍有结构性热度，交易性资金活跃度仍偏高，小盘成长风格占优，成长相对性价比处于低位。11月初，人大常委会财政政策效果验证期开启，海外美国大选落地后，美国政策布局期开启。目前市场预期是美国加码贸易政策，国内政策发力对冲。如果美国政策布局反反复复，后续海外环境复杂程度明显增加，短期A股快速凝聚的做多力量可能被逐步消磨。</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3742"/>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5821"/>
      <w:r>
        <w:rPr>
          <w:rFonts w:hint="eastAsia" w:ascii="Times New Roman" w:hAnsi="Times New Roman" w:eastAsia="楷体"/>
          <w:b/>
          <w:color w:val="000000" w:themeColor="text1"/>
          <w:sz w:val="24"/>
          <w:szCs w:val="24"/>
          <w14:textFill>
            <w14:solidFill>
              <w14:schemeClr w14:val="tx1"/>
            </w14:solidFill>
          </w14:textFill>
        </w:rPr>
        <w:t>贵金属：黄金波动率小幅上升，沪金价格上涨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0.40%至637.60元/克，沪银跌1.47%至8203元/千克。美国第三季度实际GDP年化初值环比增2.8%，预期值及二季度终值为3%。CME黄金波动率小幅上升至17.78。三季度全球黄金需求总量同比增长5%至1313吨，创历年三季度需求新高。前三季度，国内黄金ETF持有量上升至91.39吨，较2023年底增长29.93吨，增长幅度为48.69；全国黄金消费量741.732吨，同比下降11.18%。对于美国政府债务持续膨胀的担忧推动美债收益率上行，美国大选及国际地缘局势动荡等不确定因素或仍支撑贵金属的避险配置需求，期价后市或高位震荡。</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金属"/>
      <w:bookmarkStart w:id="12" w:name="_Toc20891"/>
      <w:bookmarkStart w:id="13" w:name="_Toc21017"/>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5480"/>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碳酸锂：现货价格微跌，期价小幅下行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电池级碳酸锂均价略微下跌至约73850元/吨，期价低开后横盘运行，01合约收跌2.83%至73850元/吨。澳大利亚锂矿开采商皮尔巴拉矿业公司表示，由于价格下滑，将暂停其位于西澳大利亚皮尔冈戈拉项目的Ngungaju加工厂的产出。碳酸锂库存维持去化、从上游加速向下游转移，近期下游排产略超预期、新能源车产销向好，但中期供需或维持略微过剩格局，临近前主力合约交割，下游现货散单采购偏谨慎，不过参与交割拿货意愿或相对乐观，期价波动或加剧。</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22950"/>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窄幅震荡盘整</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大选在即市场情绪扰动，联储降息乐观预期修正，国内依旧保持政策面利多情绪持续释放。几内亚雨季进入尾声后，预计当地铝土矿发运节奏逐步恢复更甚有所加快，或在11月中下旬体现出海外矿端增量补充，考虑到国内矿产在冬季环保下压力较大，后续原料对外依存度可能会进一步提增，氧化铝生产提增受原料供应偏紧制约，电解铝成本支撑抬升，部分电解铝高成本生产厂家表示利润压力较大，目前电解铝冶炼开工保持高位，供应宽松抑制铝价上行，实际在电解铝4500万吨产能天花板要求下产能再大幅提增可能较小，下游需求在旺季刺激下有明显改善，原铝应用未来有乐观预期。</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基本面保持供应高位但有产能天花板，下游需求有乐观预期逐步改善，近期铝价保持20500-21000区间窄幅震荡，短期较难把握趋势性行情，中长期可参与多配布局。</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5341"/>
      <w:r>
        <w:rPr>
          <w:rFonts w:hint="eastAsia" w:ascii="楷体" w:hAnsi="楷体" w:eastAsia="楷体"/>
          <w:b/>
          <w:color w:val="000000" w:themeColor="text1"/>
          <w:sz w:val="24"/>
          <w:szCs w:val="24"/>
          <w14:textFill>
            <w14:solidFill>
              <w14:schemeClr w14:val="tx1"/>
            </w14:solidFill>
          </w14:textFill>
        </w:rPr>
        <w:t>锌：锌价保持高位震荡</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国内宏观有利多释放但市场情绪反应平平。国内外锌精矿供应持续紧张，锌精矿加工费保持低位，矿端紧张格局年内难以改善。冶炼企业平均亏损依旧在2000元/吨左右，10月锌锭产量提升有限，进口方面，进口锌锭在亏损状态下补充有限，据SM下游企业开工率除氧化锌外其余板块开工率均有下滑，旺季之下需求仍无明显改善，是价格上行拖累项，社会库存出现小幅累增。供应边际收紧预期已充分反映在前期盘面上涨当中，需求疲软压制上方空间，锌价前高压力之下承压震荡运行。</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29714"/>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：窄幅震荡等待新驱动</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(1)宏观：美国三季度实际GDP年化季环比初值2.8%，低于预期2.9%，前值为3%。</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三季度核心个人消费支出(PCE)物价指数年化季环比初值为2.2%，较二季度的2.8%显著下滑，持平美联储的通胀目标，但超过市场预期的2.1%。</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(2)库存：10月30日，SHFE仓单库存51672吨，减1783吨；LME仓单库存275300吨，增1075吨。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(3)精废价差：10月30日，Mysteel精废价差1203，扩张55。目前价差在合理价差1466之下。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国三季度经济增速有所下滑，美元指数高位调整，当前市场关注国内重要会议及美国大选，整体市场交易偏谨慎，铜价继续保持窄幅震荡等待新的驱动，基本面，虽然目前TC有小幅上涨，但由于现货散单TC持续偏低，明年长单的确定或存在较大分歧，而倘若长时间的低加工费可能会令冶炼厂存在减产压力。短期价格参考7.6-7.8万，关注明晚美国10月非农数据公布。</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27096"/>
      <w:r>
        <w:rPr>
          <w:rFonts w:hint="eastAsia" w:ascii="楷体" w:hAnsi="楷体" w:eastAsia="楷体"/>
          <w:b/>
          <w:color w:val="000000" w:themeColor="text1"/>
          <w:sz w:val="24"/>
          <w:szCs w:val="24"/>
          <w14:textFill>
            <w14:solidFill>
              <w14:schemeClr w14:val="tx1"/>
            </w14:solidFill>
          </w14:textFill>
        </w:rPr>
        <w:t>镍：维持震荡偏弱思路，关注宏观叙事</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市场传言下周人大会议财政刺激力度可能逾10万亿元；海外则围绕美联储降息预期降温及特朗普交易，施压金属板块。镍矿方面，印尼中高品味镍矿内贸升水坚挺，但随着镍矿RKAB配额释放，市场对镍矿端支撑持有回落预期。供需方面，精炼镍基本面未有明显变化，近期下游成交氛围清淡，中长期主线仍是过剩压力，海内外库存趋势性累库，上周社库增幅2.57%。综合而言，过剩格局与趋势性累库持续对镍价施压，加上印尼镍矿支撑回落预期，对镍价维持震荡偏弱思路，后市主要关注印尼镍矿价格指引及宏观叙事变化。</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15492"/>
      <w:r>
        <w:rPr>
          <w:rFonts w:hint="eastAsia" w:ascii="楷体" w:hAnsi="楷体" w:eastAsia="楷体"/>
          <w:b/>
          <w:color w:val="000000" w:themeColor="text1"/>
          <w:sz w:val="24"/>
          <w:szCs w:val="24"/>
          <w14:textFill>
            <w14:solidFill>
              <w14:schemeClr w14:val="tx1"/>
            </w14:solidFill>
          </w14:textFill>
        </w:rPr>
        <w:t>锡：高位震荡</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元指数强势继续压制整体有色，临近国内重要会议及美国大选，市场交投偏谨慎。基本面，随着市场逐步消化佤邦锡矿可能复产的消息，锡价高位回调后刺激一部分下游补库需求，锡价有所企稳，基本面变化暂时不大，库存小幅累增。当然如果缅甸锡矿复产节奏超出市场预期，锡价下方可能还有空间，考虑到缅甸官方执行力效率并不高，预计复产消息的落地以及正式生产仍需时间。短期锡价偏震荡为主，参考25-26.5万。操作上，逢低适量采买。</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7669"/>
      <w:r>
        <w:rPr>
          <w:rFonts w:hint="eastAsia" w:ascii="楷体" w:hAnsi="楷体" w:eastAsia="楷体"/>
          <w:b/>
          <w:color w:val="000000" w:themeColor="text1"/>
          <w:sz w:val="24"/>
          <w:szCs w:val="24"/>
          <w14:textFill>
            <w14:solidFill>
              <w14:schemeClr w14:val="tx1"/>
            </w14:solidFill>
          </w14:textFill>
        </w:rPr>
        <w:t>铅：供需走弱与成本支撑交织，铅价或震荡运行</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原料方面，废电瓶拿货偏难，回收商出货意愿一般，目前废电瓶成本支撑仍较强。原生铅方面，本月炼企普遍恢复生产，河南污染天气目前对原生铅生产影响暂有限。再生铅方面，中央环保督察组已入驻安徽加上河北河南地区污染天气，近期再生铅供应或边际减少。需求方面，下游补库以刚需为主，终端消费已逐渐步入传统淡季，铅蓄电池长成品库存由降转增。综合而言，再生铅在安徽环保督察和重污染天气的影响下供应或边际减少，下游按需补库，终端消费渐入淡季，供需走弱及社库积累对铅价施压，不过废电瓶成本支撑尚存，铅价或震荡为主，主要运行区间参考16000-17300元/吨，关注环保检查影响及宏观变化。</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19701"/>
      <w:r>
        <w:rPr>
          <w:rFonts w:hint="eastAsia" w:ascii="楷体" w:hAnsi="楷体" w:eastAsia="楷体"/>
          <w:b/>
          <w:color w:val="000000" w:themeColor="text1"/>
          <w:sz w:val="24"/>
          <w:szCs w:val="24"/>
          <w14:textFill>
            <w14:solidFill>
              <w14:schemeClr w14:val="tx1"/>
            </w14:solidFill>
          </w14:textFill>
        </w:rPr>
        <w:t>不锈钢：弱需求与高成本，期价上下两难</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印尼中高品味镍矿内贸升水目前仍坚挺于22美元/湿吨，但随着镍矿RKAB配额释放，市场对镍矿端支撑持有回落预期。镍铁方面，继青山招标价格上调至1050元/镍（到厂含税）后，近日市场传言8家镍铁厂大佬碰头以团结挺价，不锈钢成本支撑较强，但鉴于不锈钢需求弱势及矿端支撑回落预期，后市镍铁价格存在下调可能。需求方面，下游成交以刚需采购为主，金十传统旺季已步入尾声，预计短期需求难有明显好转，上周社会库存增加1.13%。综合而言，镍铁价格强势对不锈钢价格形成支撑，但弱需求及社库累积情况下，高成本难以为不锈钢价格带来明显上行驱动，预计不锈钢价格上下两难，运行区间参考13200-14200元/吨。</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26348"/>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行业库存较高，反弹高度受限</w:t>
      </w:r>
      <w:bookmarkEnd w:id="27"/>
    </w:p>
    <w:p>
      <w:pPr>
        <w:ind w:left="630" w:leftChars="300"/>
        <w:rPr>
          <w:rFonts w:ascii="楷体" w:hAnsi="楷体" w:eastAsia="楷体"/>
          <w:sz w:val="24"/>
          <w:szCs w:val="24"/>
        </w:rPr>
      </w:pPr>
      <w:r>
        <w:rPr>
          <w:rFonts w:hint="eastAsia" w:ascii="楷体" w:hAnsi="楷体" w:eastAsia="楷体"/>
          <w:sz w:val="24"/>
          <w:szCs w:val="24"/>
        </w:rPr>
        <w:t>10月30日，Si2412主力合约有所反弹，收盘价12915元/吨，较上一收盘价涨跌幅＋0.90%。近期，受利好消息刺激，此前盘面出现明显反弹，由于供应呈季节性北增南减格局，需求暂无明显改善，基本面改善幅度相对有限，且行业库存依旧较高，临近仓单集中注销，对反弹仍有压制。策略上，建议多单可逐步逢高止盈。</w:t>
      </w:r>
    </w:p>
    <w:p>
      <w:pPr>
        <w:ind w:firstLine="420" w:firstLineChars="200"/>
        <w:rPr>
          <w:rFonts w:ascii="Times New Roman" w:hAnsi="Times New Roman" w:eastAsia="楷体"/>
          <w:bCs/>
        </w:rPr>
      </w:pPr>
    </w:p>
    <w:p>
      <w:pPr>
        <w:ind w:left="420" w:leftChars="200"/>
        <w:outlineLvl w:val="1"/>
        <w:rPr>
          <w:rFonts w:ascii="楷体" w:hAnsi="楷体" w:eastAsia="楷体"/>
          <w:b/>
          <w:sz w:val="24"/>
          <w:szCs w:val="24"/>
        </w:rPr>
      </w:pPr>
      <w:bookmarkStart w:id="28" w:name="_Toc341"/>
      <w:r>
        <w:rPr>
          <w:rFonts w:hint="eastAsia" w:ascii="楷体" w:hAnsi="楷体" w:eastAsia="楷体"/>
          <w:b/>
          <w:color w:val="000000" w:themeColor="text1"/>
          <w:sz w:val="24"/>
          <w:szCs w:val="24"/>
          <w14:textFill>
            <w14:solidFill>
              <w14:schemeClr w14:val="tx1"/>
            </w14:solidFill>
          </w14:textFill>
        </w:rPr>
        <w:t>螺纹钢：政策预期升温，短期或震荡偏强</w:t>
      </w:r>
      <w:bookmarkEnd w:id="28"/>
    </w:p>
    <w:p>
      <w:pPr>
        <w:ind w:left="630" w:leftChars="300"/>
        <w:rPr>
          <w:rFonts w:ascii="楷体" w:hAnsi="楷体" w:eastAsia="楷体"/>
          <w:sz w:val="24"/>
          <w:szCs w:val="24"/>
        </w:rPr>
      </w:pPr>
      <w:r>
        <w:rPr>
          <w:rFonts w:hint="eastAsia" w:ascii="楷体" w:hAnsi="楷体" w:eastAsia="楷体"/>
          <w:sz w:val="24"/>
          <w:szCs w:val="24"/>
        </w:rPr>
        <w:t>临近美国大选以及国内重要会议，政策预期对市场情绪仍有一定支撑，但市场逐步进入季节性淡季，基本面边际走弱，市场投机情绪下降，也将压制反弹空间，短期盘面或将震荡偏强。</w:t>
      </w: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8606"/>
      <w:r>
        <w:rPr>
          <w:rFonts w:hint="eastAsia" w:ascii="Times New Roman" w:hAnsi="Times New Roman" w:eastAsia="楷体"/>
          <w:b/>
          <w:color w:val="823C0B"/>
          <w:sz w:val="30"/>
          <w:szCs w:val="30"/>
        </w:rPr>
        <w:t>[化工]</w:t>
      </w:r>
      <w:bookmarkEnd w:id="29"/>
      <w:bookmarkEnd w:id="30"/>
    </w:p>
    <w:p>
      <w:pPr>
        <w:ind w:firstLine="482" w:firstLineChars="200"/>
        <w:outlineLvl w:val="1"/>
        <w:rPr>
          <w:rFonts w:ascii="楷体" w:hAnsi="楷体" w:eastAsia="楷体"/>
          <w:b/>
          <w:sz w:val="24"/>
          <w:szCs w:val="24"/>
        </w:rPr>
      </w:pPr>
      <w:bookmarkStart w:id="31" w:name="_Toc14572"/>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主产区降水持续减少 天胶供应存上量预期</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成本端，从泰国主要产区的最新报价来看，目前各品类胶价假期整体出现较大回落，胶水价格回落尤为明显。伴随后续天气好转，降水减少，原料价格支撑或继续松动。库存方面，本周青岛港口小幅累库。下游需求方面，近期半钢胎开工恢复较好同时成品库存持续降库，或因双十一电商节到来下长途物流运输需求好转；半钢轮胎维持产销高景气。整体看，尽管四季度橡胶在基本面供小于求的支撑下以偏多头思路看待，但仍需持续关注东南亚主产区短期降水问题有出现缓和迹象，九月以来轮胎出口数据出现较大下滑，谨防主力下游半钢胎需求走弱，短期不排除原料价格回落、制约胶价表现。</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30322"/>
      <w:r>
        <w:rPr>
          <w:rFonts w:hint="eastAsia" w:ascii="Times New Roman" w:hAnsi="Times New Roman" w:eastAsia="楷体"/>
          <w:b/>
          <w:color w:val="000000" w:themeColor="text1"/>
          <w:sz w:val="24"/>
          <w:szCs w:val="24"/>
          <w14:textFill>
            <w14:solidFill>
              <w14:schemeClr w14:val="tx1"/>
            </w14:solidFill>
          </w14:textFill>
        </w:rPr>
        <w:t>聚烯烃：旺季需求即将结束，聚烯烃随原油波动为主</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上周美国原油和汽油库存意外下降，并有报道称，欧佩克及其减产同盟国可能推迟计划中的12月份开始石油增产，国际油价上涨，聚烯烃成本支撑略有好转，盘面震荡表现。福建联合、中韩石化等石化厂进入计划检修期，现阶段检修装置较多，PE开工率降低至偏低水平，PP开工率下降，其中PDH制PP开工率仍处于中下水平。预计未来开工率将回升。PE进口窗口打开，内外盘供应均有增量预期。下游需求旺季即将结束，下游工厂延续刚需采购，上游生产企业去库较慢。短期预计聚烯烃区间整理。</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3" w:name="_Toc12222"/>
      <w:r>
        <w:rPr>
          <w:rFonts w:hint="eastAsia" w:ascii="Times New Roman" w:hAnsi="Times New Roman" w:eastAsia="楷体"/>
          <w:b/>
          <w:color w:val="000000" w:themeColor="text1"/>
          <w:sz w:val="24"/>
          <w:szCs w:val="24"/>
          <w14:textFill>
            <w14:solidFill>
              <w14:schemeClr w14:val="tx1"/>
            </w14:solidFill>
          </w14:textFill>
        </w:rPr>
        <w:t>原油：飓风Francine助力，原油期货强势反弹</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WTI原油主力合约强劲反弹大涨2.67%，收报69.18美元/桶；布伦特原油主力合约大涨2.02%，报72.15美元/桶；中国原油期货SC主力合约夜盘大涨2.31%，报514.5元/桶。</w:t>
      </w:r>
    </w:p>
    <w:p>
      <w:pPr>
        <w:ind w:left="630" w:leftChars="300"/>
        <w:rPr>
          <w:rFonts w:hint="eastAsia" w:ascii="楷体" w:hAnsi="楷体" w:eastAsia="楷体"/>
          <w:sz w:val="24"/>
          <w:szCs w:val="24"/>
        </w:rPr>
      </w:pPr>
      <w:r>
        <w:rPr>
          <w:rFonts w:hint="eastAsia" w:ascii="楷体" w:hAnsi="楷体" w:eastAsia="楷体"/>
          <w:sz w:val="24"/>
          <w:szCs w:val="24"/>
        </w:rPr>
        <w:t>受飓风Francine影响，美国作为全球最大的原油消费国面临供应中断的风险，这促使原油期货价格出现强劲反弹。随着飓风登陆并向内陆推进，墨西哥湾地区首当其冲，美国国家飓风中心已发布预警，路易斯安那州和密西西比州也进入了紧急状态。根据美国安全与环境执法局的报告，飓风导致墨西哥湾大约42%的原油生产设施和53%的天然气设施暂停运作。</w:t>
      </w:r>
    </w:p>
    <w:p>
      <w:pPr>
        <w:ind w:left="630" w:leftChars="300"/>
        <w:rPr>
          <w:rFonts w:hint="eastAsia" w:ascii="楷体" w:hAnsi="楷体" w:eastAsia="楷体"/>
          <w:sz w:val="24"/>
          <w:szCs w:val="24"/>
        </w:rPr>
      </w:pPr>
      <w:r>
        <w:rPr>
          <w:rFonts w:hint="eastAsia" w:ascii="楷体" w:hAnsi="楷体" w:eastAsia="楷体"/>
          <w:sz w:val="24"/>
          <w:szCs w:val="24"/>
        </w:rPr>
        <w:t>然而，国际能源署（IEA）最新发布的月度报告揭示了一个不同的图景。报告指出，全球石油需求增长正在显著放缓，导致油价触及三年来的低点。2024年上半年全球石油消费量预计仅增加90.3万桶/日，远低于2023年同期的增长速度。此外，IEA还下调了2024年的全球石油需求增长预期，预计若欧佩克+继续按计划逐步恢复产量，2025年或将出现供应过剩的情况。</w:t>
      </w:r>
    </w:p>
    <w:p>
      <w:pPr>
        <w:ind w:left="630" w:leftChars="300"/>
        <w:rPr>
          <w:rFonts w:hint="eastAsia" w:ascii="楷体" w:hAnsi="楷体" w:eastAsia="楷体"/>
          <w:sz w:val="24"/>
          <w:szCs w:val="24"/>
        </w:rPr>
      </w:pPr>
      <w:r>
        <w:rPr>
          <w:rFonts w:hint="eastAsia" w:ascii="楷体" w:hAnsi="楷体" w:eastAsia="楷体"/>
          <w:sz w:val="24"/>
          <w:szCs w:val="24"/>
        </w:rPr>
        <w:t>技术面显示，原油价格经历了快速下跌后，市场出现了一定程度的超卖，因此引发了此次反弹。尽管此次反弹较为强劲，已经收复了本周的部分跌幅，但从中期角度来看，下跌趋势仍未改变。未来几日，市场参与者需持续关注飓风对供应的实际影响，以及IEA报告中提到的需求放缓是否会在短期内给油价带来进一步压力。WTI原油主力合约虽有所反弹但短期仍看淡，2023年低点63.64美元/桶为短期的强支撑；布伦特原油主力合约，68.20美元/桶为2023年低点为短期重要支撑；国内原油期货主力合约SC2410价格，2023年低点480.6元/吨为重要支撑。</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4" w:name="_Toc31156"/>
      <w:r>
        <w:rPr>
          <w:rFonts w:hint="eastAsia" w:ascii="Times New Roman" w:hAnsi="Times New Roman" w:eastAsia="楷体"/>
          <w:b/>
          <w:color w:val="000000" w:themeColor="text1"/>
          <w:sz w:val="24"/>
          <w:szCs w:val="24"/>
          <w14:textFill>
            <w14:solidFill>
              <w14:schemeClr w14:val="tx1"/>
            </w14:solidFill>
          </w14:textFill>
        </w:rPr>
        <w:t>燃料油及低硫燃料油：燃料油期货夜盘上扬，弱势格局待破局</w:t>
      </w:r>
      <w:bookmarkEnd w:id="34"/>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燃料油主力合约夜盘上涨1.89%，报2797元/吨；低硫燃料油主力合约夜盘上涨1.04%，报3899元/吨；价差为1102元/吨。</w:t>
      </w:r>
    </w:p>
    <w:p>
      <w:pPr>
        <w:ind w:left="630" w:leftChars="300"/>
        <w:rPr>
          <w:rFonts w:hint="eastAsia" w:ascii="楷体" w:hAnsi="楷体" w:eastAsia="楷体"/>
          <w:sz w:val="24"/>
          <w:szCs w:val="24"/>
        </w:rPr>
      </w:pPr>
      <w:r>
        <w:rPr>
          <w:rFonts w:hint="eastAsia" w:ascii="楷体" w:hAnsi="楷体" w:eastAsia="楷体"/>
          <w:sz w:val="24"/>
          <w:szCs w:val="24"/>
        </w:rPr>
        <w:t>近期，汽柴产销表现不佳，燃料油市场缺乏明确的利好消息，导致业者操作心态趋于观望，下游采购保持谨慎，刚需为主，炼厂出货因此受阻。预计今日市场交投将继续以弱盘整理为主。</w:t>
      </w:r>
    </w:p>
    <w:p>
      <w:pPr>
        <w:ind w:left="630" w:leftChars="300"/>
        <w:rPr>
          <w:rFonts w:hint="eastAsia" w:ascii="楷体" w:hAnsi="楷体" w:eastAsia="楷体"/>
          <w:sz w:val="24"/>
          <w:szCs w:val="24"/>
        </w:rPr>
      </w:pPr>
      <w:r>
        <w:rPr>
          <w:rFonts w:hint="eastAsia" w:ascii="楷体" w:hAnsi="楷体" w:eastAsia="楷体"/>
          <w:sz w:val="24"/>
          <w:szCs w:val="24"/>
        </w:rPr>
        <w:t>从产能利用情况来看，本周主营炼厂常减压产能利用率为77.48%，环比微降，同比跌幅达5.64%，显示出加工量仍未恢复至去年同期水平。</w:t>
      </w:r>
    </w:p>
    <w:p>
      <w:pPr>
        <w:ind w:left="630" w:leftChars="300"/>
        <w:rPr>
          <w:rFonts w:hint="eastAsia" w:ascii="楷体" w:hAnsi="楷体" w:eastAsia="楷体"/>
          <w:sz w:val="24"/>
          <w:szCs w:val="24"/>
        </w:rPr>
      </w:pPr>
      <w:r>
        <w:rPr>
          <w:rFonts w:hint="eastAsia" w:ascii="楷体" w:hAnsi="楷体" w:eastAsia="楷体"/>
          <w:sz w:val="24"/>
          <w:szCs w:val="24"/>
        </w:rPr>
        <w:t>亚洲燃料油现货市场方面，尽管低硫燃料油供应预期增加，但高硫燃料油库存充裕，对价格上行构成压力。新加坡现货市场上，高硫燃料油交易冷清，而超低硫燃料油则有一笔成交。此外，新加坡各类燃料油库存均出现下降，但整体仍处于相对高位。</w:t>
      </w:r>
    </w:p>
    <w:p>
      <w:pPr>
        <w:ind w:left="630" w:leftChars="300"/>
        <w:rPr>
          <w:rFonts w:hint="eastAsia" w:ascii="楷体" w:hAnsi="楷体" w:eastAsia="楷体"/>
          <w:sz w:val="24"/>
          <w:szCs w:val="24"/>
        </w:rPr>
      </w:pPr>
      <w:r>
        <w:rPr>
          <w:rFonts w:hint="eastAsia" w:ascii="楷体" w:hAnsi="楷体" w:eastAsia="楷体"/>
          <w:sz w:val="24"/>
          <w:szCs w:val="24"/>
        </w:rPr>
        <w:t>燃料油期货价格整体上跟随了原油价格的反弹趋势，但由于原油价格仍处于中期下跌趋势之中，燃料油期货价格预计难以摆脱弱势格局。市场参与者需密切关注原油价格动向及其对燃料油市场的影响。</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5" w:name="_Toc6127"/>
      <w:r>
        <w:rPr>
          <w:rFonts w:hint="eastAsia" w:ascii="Times New Roman" w:hAnsi="Times New Roman" w:eastAsia="楷体"/>
          <w:b/>
          <w:color w:val="000000" w:themeColor="text1"/>
          <w:sz w:val="24"/>
          <w:szCs w:val="24"/>
          <w14:textFill>
            <w14:solidFill>
              <w14:schemeClr w14:val="tx1"/>
            </w14:solidFill>
          </w14:textFill>
        </w:rPr>
        <w:t>沥青：沥青期货价格上扬，弱稳格局待突破</w:t>
      </w:r>
      <w:bookmarkEnd w:id="35"/>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沥青期货主力合约BU2410上涨1.87%，收3111元/吨。</w:t>
      </w:r>
    </w:p>
    <w:p>
      <w:pPr>
        <w:ind w:left="630" w:leftChars="300"/>
        <w:rPr>
          <w:rFonts w:hint="eastAsia" w:ascii="楷体" w:hAnsi="楷体" w:eastAsia="楷体"/>
          <w:sz w:val="24"/>
          <w:szCs w:val="24"/>
        </w:rPr>
      </w:pPr>
      <w:r>
        <w:rPr>
          <w:rFonts w:hint="eastAsia" w:ascii="楷体" w:hAnsi="楷体" w:eastAsia="楷体"/>
          <w:sz w:val="24"/>
          <w:szCs w:val="24"/>
        </w:rPr>
        <w:t>当前，国内沥青市场呈现出弱稳运行的态势，均价为3634元/吨，较前一日微降2元/吨。本周，沥青产量出现显著下滑，周度总产量环比下降6.8%，同比降幅更是高达46.2%。这一趋势在1-9月份的累计产量中也得到了体现，同比减少近20.6%。</w:t>
      </w:r>
    </w:p>
    <w:p>
      <w:pPr>
        <w:ind w:left="630" w:leftChars="300"/>
        <w:rPr>
          <w:rFonts w:hint="eastAsia" w:ascii="楷体" w:hAnsi="楷体" w:eastAsia="楷体"/>
          <w:sz w:val="24"/>
          <w:szCs w:val="24"/>
        </w:rPr>
      </w:pPr>
      <w:r>
        <w:rPr>
          <w:rFonts w:hint="eastAsia" w:ascii="楷体" w:hAnsi="楷体" w:eastAsia="楷体"/>
          <w:sz w:val="24"/>
          <w:szCs w:val="24"/>
        </w:rPr>
        <w:t>库存方面，截至9月12日，国内沥青社会库存和厂库库存均呈现去库态势。社会库存较周一减少2.9%，其中华东地区去库明显，主要得益于业者优先消耗社会库存以及出口船发的良好表现。厂库库存则减少3.0%，山东地区去库尤为突出，这主要归因于个别主力炼厂的检修导致供应低位，以及出货以厂库库存为主。</w:t>
      </w:r>
    </w:p>
    <w:p>
      <w:pPr>
        <w:ind w:left="630" w:leftChars="300"/>
        <w:rPr>
          <w:rFonts w:hint="eastAsia" w:ascii="楷体" w:hAnsi="楷体" w:eastAsia="楷体"/>
          <w:sz w:val="24"/>
          <w:szCs w:val="24"/>
        </w:rPr>
      </w:pPr>
      <w:r>
        <w:rPr>
          <w:rFonts w:hint="eastAsia" w:ascii="楷体" w:hAnsi="楷体" w:eastAsia="楷体"/>
          <w:sz w:val="24"/>
          <w:szCs w:val="24"/>
        </w:rPr>
        <w:t>在供需差方面，本周沥青供需差环比大幅增加43.3%，但整体仍处于负值状态。成本端坍塌加剧了业者的看跌情绪，贸易商因此提升了主动去库的意愿，导致价格承压下行。</w:t>
      </w:r>
    </w:p>
    <w:p>
      <w:pPr>
        <w:ind w:left="630" w:leftChars="300"/>
        <w:rPr>
          <w:rFonts w:hint="eastAsia" w:ascii="楷体" w:hAnsi="楷体" w:eastAsia="楷体"/>
          <w:sz w:val="24"/>
          <w:szCs w:val="24"/>
        </w:rPr>
      </w:pPr>
      <w:r>
        <w:rPr>
          <w:rFonts w:hint="eastAsia" w:ascii="楷体" w:hAnsi="楷体" w:eastAsia="楷体"/>
          <w:sz w:val="24"/>
          <w:szCs w:val="24"/>
        </w:rPr>
        <w:t>综上所述，沥青期货市场在当前弱稳运行的态势下，受到产量下滑、库存去库以及供需差和成本端等多重因素的影响。未来，投资者需密切关注这些因素的变化，以制定合理的投资策略。</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6" w:name="_Toc28632"/>
      <w:r>
        <w:rPr>
          <w:rFonts w:hint="eastAsia" w:ascii="Times New Roman" w:hAnsi="Times New Roman" w:eastAsia="楷体"/>
          <w:b/>
          <w:color w:val="000000" w:themeColor="text1"/>
          <w:sz w:val="24"/>
          <w:szCs w:val="24"/>
          <w14:textFill>
            <w14:solidFill>
              <w14:schemeClr w14:val="tx1"/>
            </w14:solidFill>
          </w14:textFill>
        </w:rPr>
        <w:t>PTA：跟随宏观及成本端波动</w:t>
      </w:r>
      <w:bookmarkEnd w:id="36"/>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原油方面，市场传OPEC+推迟增产，或减缓原油市场过剩压力，原油止跌反弹。中线市场交易逻辑回归原油市场供需过剩预期，后市有进一步转弱风险。PX 9月进口量大增，当前宽松的现货供应格局下，PX弱势难改。PTA个别装置负荷小幅调整，至10.24 PTA负荷在80.5%。长丝短纤局部负荷提升及瓶片新增产能，综合来看聚酯负荷继续回升。截至10.24，初步核算国内大陆地区聚酯负荷在92 %附近，天气转冷下游开工小幅提升。综合来看，近期随着成本端大幅下行，期价重心跟随下移。PTA动态加工费回升至365元/吨高位，11、12开月装置检修较少，PTA现货供应偏宽松，现货基差走势偏弱，PTA2501合约运行区间为4800-5200，供参考。</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7" w:name="_Toc7043"/>
      <w:r>
        <w:rPr>
          <w:rFonts w:hint="eastAsia" w:ascii="Times New Roman" w:hAnsi="Times New Roman" w:eastAsia="楷体"/>
          <w:b/>
          <w:color w:val="000000" w:themeColor="text1"/>
          <w:sz w:val="24"/>
          <w:szCs w:val="24"/>
          <w14:textFill>
            <w14:solidFill>
              <w14:schemeClr w14:val="tx1"/>
            </w14:solidFill>
          </w14:textFill>
        </w:rPr>
        <w:t>乙二醇：成本下行叠加库存累积 震荡偏弱</w:t>
      </w:r>
      <w:bookmarkEnd w:id="37"/>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供需情况，据CCF 10.28华东主港地区MEG港口库存约64.6万吨附近，环比上周增加0.8万吨。截至10月24日，中国大陆地区乙二醇整体开工负荷在67.29%（-1.35%），其中草酸催化加氢法（合成气）制乙二醇开工负荷在63.85%（-0.39%）。下游聚酯开工情况来看，聚酯端负荷整体保持良好，截至10.24，初步核算国内大陆地区聚酯负荷在92%附近，尤其是长丝负荷持续较高。聚酯端库存来看，长丝促销效果显著，整体库存节前维持去化。终端开工情况来看，截止10.24江浙下游加弹、织造、印染负荷分别在93%、82%、86%，整体开工高位维持。综合来看，乙二醇后续到港压力增加港口库存将维持偏高水平，11供需结构偏累库，短期震荡偏弱。</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8" w:name="_Toc23746"/>
      <w:r>
        <w:rPr>
          <w:rFonts w:hint="eastAsia" w:ascii="Times New Roman" w:hAnsi="Times New Roman" w:eastAsia="楷体"/>
          <w:b/>
          <w:color w:val="823C0B"/>
          <w:sz w:val="30"/>
          <w:szCs w:val="30"/>
        </w:rPr>
        <w:t>[农产品]</w:t>
      </w:r>
      <w:bookmarkEnd w:id="14"/>
      <w:bookmarkEnd w:id="38"/>
    </w:p>
    <w:p>
      <w:pPr>
        <w:pStyle w:val="93"/>
        <w:spacing w:before="60" w:beforeAutospacing="0" w:after="60" w:afterAutospacing="0"/>
        <w:ind w:left="420" w:leftChars="200"/>
        <w:outlineLvl w:val="1"/>
        <w:rPr>
          <w:rFonts w:hint="eastAsia" w:ascii="楷体" w:hAnsi="楷体" w:eastAsia="楷体"/>
          <w:b/>
        </w:rPr>
      </w:pPr>
      <w:bookmarkStart w:id="39" w:name="_Toc28912"/>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期价继续上涨</w:t>
      </w:r>
      <w:bookmarkEnd w:id="39"/>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玉米现货继续分化，华北产区稳中有跌，东北产区与南北方港口则稳中有涨；玉米期价夜盘以来震荡运行，午后拉升，全天出现较大幅度上涨。对于玉米而言，期价远月升水结构反映市场对当前年度相对乐观的供需预期，随着华北产区持续反弹，而东北产区止跌反弹，或表明新作压力最大对应现货价格低点已经出现，接下来市场预期或逐步转向乐观，在诸如国家增储、小麦上涨及其南方港口内外贸玉米库存偏低等潜在利多因素的带动下，期现货价格有望逐步震荡上行。在这种情况下，我们维持谨慎看多观点，建议投资者持有前期多单。</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淀粉现货整体稳中偏弱，个别地区报价下调10-50元不等，盘面淀粉跟随玉米上涨，整体表现强于玉米，淀粉-玉米价差小幅走扩。对于淀粉而言，近期淀粉-玉米价差走扩，主要源于三个方面因素均偏利多，其中副产品维持低位，行业供需因表观需求量即出库量带动行业库存大幅下降，原料端则转向偏多，因国庆长假一来华北玉米反弹，而东北玉米持续弱势，华北-东北玉米价差持续走扩。接下来需要重点关注原料成本端，即华北产区深加工企业收购价回落空间，但考虑到基差和盘面加工利润，我们依然倾向于淀粉-玉米价差有望继续走扩。在这种情况下，结合原料玉米判断，我们维持谨慎看多观点，建议单边投资者持有多单，套利投资者继续持有淀粉-玉米价差走扩套利。</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32403"/>
      <w:r>
        <w:rPr>
          <w:rFonts w:hint="eastAsia" w:ascii="楷体" w:hAnsi="楷体" w:eastAsia="楷体"/>
          <w:b/>
          <w:bCs/>
          <w:color w:val="000000" w:themeColor="text1"/>
          <w14:textFill>
            <w14:solidFill>
              <w14:schemeClr w14:val="tx1"/>
            </w14:solidFill>
          </w14:textFill>
        </w:rPr>
        <w:t>畜禽养殖：期价近强远弱表现分化</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国内生猪现货涨跌互现，全国均价下跌0.01元至17.16元/公斤；期价表现分化，近月显著强于远月。对于生猪而言，从期价远期贴水结构可以看出，市场对生猪市场远期供需改善预期较为一致，这可以从若干方面得到印证，包括能繁母猪存栏见底回升，猪料产量环比增加，仔猪价格见顶回落等。随着期价的持续回落，市场分歧转向当前期价是否已经反映现货下跌预期，因目前最低的3月合约已经跌至过去两年春节前后低点14元/公斤的水平。从供应角度看，农业农村部公布的季度末生猪存栏量虽连续环比增加，但仍处于过去四年来最低水平，而今年3季度出栏仅次于去年，这意味着4季度供应环比增幅受限，这会抑制猪价下跌空间。而需求则存在较大的不确定性，受宏观经济影响，市场反映今年需求不及往年同期，这会抑制猪价上方空间。考虑到气温的下降，再加上季节性因素，生猪需求或有所改善。在这种情况下，我们持谨慎看多观点。</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鸡蛋现货价格继续稳定，其中主产区均价持平在4.68元/斤，主销区均持平4.87元/斤；期价整体偏强震荡，近月相对略强于远月。对于鸡蛋而言，分析市场可以看出，当前市场纠结之处在于，一方面市场对远期供需宽松预期使得市场担心后期现货下跌，而这已经体现在远月期价深度贴水上，另一方面现货相对抗跌，且基差处于历史高位，这对期价特别是近月带来一定的支撑。考虑到现货已进入季节性淡季，市场关注焦点将转向远月，这里面需要重点关注两个方面，其一是原料成本的变数，虽然当前饲料原料包括豆粕和玉米价格均处于相对低位，对应的养殖利润高企，但在新作压力之后其走势存在较大的不确定性。其二是供需预期的变数，因市场多倾向于认为今年年后以来现货整体表现强于预期，主要源于需求端的影响，而我们则倾向于认为更多源于供应端的因素，这可能源于春节前后补栏积极性下降而淘汰积极性上升，因当时蛋鸡苗价格处于历史低位，而多家机构数据均显示去年底以来蛋鸡淘汰量同比大幅增加。在这种情况下，我们维持谨慎看多观点，建议谨慎投资者观望，激进投资者可考虑持有近月合约多单。</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16725"/>
      <w:r>
        <w:rPr>
          <w:rFonts w:hint="eastAsia" w:ascii="楷体" w:hAnsi="楷体" w:eastAsia="楷体"/>
          <w:b/>
          <w:bCs/>
          <w:color w:val="000000" w:themeColor="text1"/>
          <w14:textFill>
            <w14:solidFill>
              <w14:schemeClr w14:val="tx1"/>
            </w14:solidFill>
          </w14:textFill>
        </w:rPr>
        <w:t>白糖：内外糖价震荡整理</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隔日外盘，ICE原糖11号主力合约上涨0.72%，伦敦白砂糖主力合约上涨0.82%。郑糖2501主力合约下跌0.10%。行业组织 Unica 上周五表示，巴西中南部地区10月上半月糖产量总计244万吨，较去年同期增长8%。10月上半月甘蔗压榨量总计为3,383万吨，较去年同期增长2.75%。国内，旧作库存十分紧张，贸易商挺价。新季白糖尽管因台风天气产量下修，但整体仍是丰产预期，限制白糖反弹高度。预计短期高位区间震荡。</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2" w:name="_Toc6016"/>
      <w:r>
        <w:rPr>
          <w:rFonts w:hint="eastAsia" w:ascii="楷体" w:hAnsi="楷体" w:eastAsia="楷体"/>
          <w:b/>
          <w:bCs/>
          <w:color w:val="000000" w:themeColor="text1"/>
          <w14:textFill>
            <w14:solidFill>
              <w14:schemeClr w14:val="tx1"/>
            </w14:solidFill>
          </w14:textFill>
        </w:rPr>
        <w:t>棉花：预计郑棉围绕1.4关口震荡</w:t>
      </w:r>
      <w:bookmarkEnd w:id="42"/>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隔日外盘，ICE美棉主力下跌0.71%。夜盘郑棉2501主力合约下跌0.28%。据外电10月28日消息，美国农业部（ USDA )在每周作物生长报告中公布称，截至日2024年10月27当周，美国棉花优良率为33%，前一周为37%，上年同期为29%。美国棉花收割率为52%，前一周为44%，去年同期为47%，五年均值为46%。国内，本年度棉花丰产，产量预计同比增加5%-7%，供应充沛。籽棉收购价相对稳定，集中在6.1-6.4元/公斤区间。轧花厂依然持谨慎态度，风险偏好低。金九银十临近尾声，纺织开机率略有下降，但整体依然处于近几年偏高水平。预计棉花区间偏弱震荡。</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3" w:name="_Toc21846"/>
      <w:r>
        <w:rPr>
          <w:rFonts w:hint="eastAsia" w:ascii="楷体" w:hAnsi="楷体" w:eastAsia="楷体"/>
          <w:b/>
          <w:bCs/>
          <w:color w:val="000000" w:themeColor="text1"/>
          <w14:textFill>
            <w14:solidFill>
              <w14:schemeClr w14:val="tx1"/>
            </w14:solidFill>
          </w14:textFill>
        </w:rPr>
        <w:t>蛋白粕：短期受消息面提振，长线依旧偏弱</w:t>
      </w:r>
      <w:bookmarkEnd w:id="4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二上涨0.78%，豆粕上涨0.37%；菜籽上涨1.06%，菜粕上涨0.47%。市场传言，天津港口海关卸船严格，同时日照、连云港部分11月中旬以后到港的进口豆还未获得商检局的批证，预计大豆到达工厂用于压榨的时间很可能将延后最少15天。市场炒作短期供应偏紧，豆粕期货再度回升，但现货价格仍偏弱运行，并未出现明显上涨走势。美豆和巴西豆丰产格局下，下游粕类需求无明显起色，难有支撑。</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4" w:name="_Toc18368"/>
      <w:r>
        <w:rPr>
          <w:rFonts w:hint="eastAsia" w:ascii="楷体" w:hAnsi="楷体" w:eastAsia="楷体"/>
          <w:b/>
          <w:bCs/>
          <w:color w:val="000000" w:themeColor="text1"/>
          <w14:textFill>
            <w14:solidFill>
              <w14:schemeClr w14:val="tx1"/>
            </w14:solidFill>
          </w14:textFill>
        </w:rPr>
        <w:t>油脂类：棕榈油涨幅放缓，但依旧最强</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上涨0.02%，菜油下跌0.24%，棕榈油上涨0.90%。ITS10月25日发布数据显示，马来西亚10月1-25日棕榈油产品出口量增加10.8%。目前印尼B50计划正在准备中，此计划将大幅增加毛棕榈油需求。如果不增加产量，出口供应就有可能减少，从而推高全球价格。国内来看，棕榈油价格持续走高，随着豆棕油价差扩大以及气温下降将抑制国内棕榈油需求。豆油因预期大豆丰产而相对承压，上周豆油累库幅度有所扩大；菜油进口较多，供应充足。</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5" w:name="_Toc26092"/>
      <w:r>
        <w:rPr>
          <w:rFonts w:hint="eastAsia" w:ascii="Times New Roman" w:hAnsi="Times New Roman" w:eastAsia="楷体"/>
          <w:b/>
          <w:color w:val="823C0B"/>
          <w:sz w:val="30"/>
          <w:szCs w:val="30"/>
        </w:rPr>
        <w:t>[指数]</w:t>
      </w:r>
      <w:bookmarkEnd w:id="45"/>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6" w:name="_Toc32666"/>
      <w:r>
        <w:rPr>
          <w:rFonts w:hint="eastAsia" w:ascii="Times New Roman" w:hAnsi="Times New Roman" w:eastAsia="楷体"/>
          <w:b/>
          <w:color w:val="000000" w:themeColor="text1"/>
          <w:sz w:val="24"/>
          <w:szCs w:val="24"/>
          <w14:textFill>
            <w14:solidFill>
              <w14:schemeClr w14:val="tx1"/>
            </w14:solidFill>
          </w14:textFill>
        </w:rPr>
        <w:t>集运指数（欧线）：关注后续运价走势，期价小幅反弹</w:t>
      </w:r>
      <w:bookmarkEnd w:id="46"/>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12合约涨4.26%至3133.0。一方面，近期马士基下调报价，前期船司宣涨落地或不及预期，关注后续运价走势。另一方面，11月现舱40GP报价平均约4450美元，个别如CMA CGM宣涨11月下旬运价，线上40GP报约5460美元。10月25日，上海航运交易所发布的上海出口集装箱综合运价指数为2185.33点，较上期上涨6.0%。10月25日，上海港出口至欧洲基本港市场运价（海运及海运附加费）为2226美元/TEU，较上期上涨14.2%。10月25日，上海港出口至地中海基本港市场运价（海运及海运附加费）为2555美元/TEU，较上期上涨10.5%。多空博弈期间留意短期波动加剧风险，上方面临近期前高压力，期价或区间震荡，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7" w:name="_Toc12779"/>
      <w:bookmarkStart w:id="48" w:name="_Toc19667"/>
      <w:bookmarkStart w:id="49" w:name="_Toc71212556"/>
      <w:bookmarkStart w:id="50" w:name="_Toc72481108"/>
      <w:bookmarkStart w:id="51" w:name="_Toc98426751"/>
      <w:r>
        <w:rPr>
          <w:rFonts w:ascii="Times New Roman" w:hAnsi="Times New Roman" w:eastAsia="楷体"/>
          <w:b/>
          <w:color w:val="411D05"/>
          <w:sz w:val="30"/>
          <w:szCs w:val="30"/>
        </w:rPr>
        <w:t>免责声明</w:t>
      </w:r>
      <w:bookmarkEnd w:id="47"/>
      <w:bookmarkEnd w:id="48"/>
      <w:bookmarkEnd w:id="49"/>
      <w:bookmarkEnd w:id="50"/>
      <w:bookmarkEnd w:id="51"/>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rPr>
                <w:rFonts w:ascii="Times New Roman" w:hAnsi="Times New Roman" w:eastAsia="楷体" w:cs="Times New Roman"/>
                <w:color w:val="823C0B"/>
                <w:sz w:val="22"/>
              </w:rPr>
            </w:pP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2024年10月31日星期四</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137E06"/>
    <w:rsid w:val="01375C3E"/>
    <w:rsid w:val="01954D8D"/>
    <w:rsid w:val="02E32A5D"/>
    <w:rsid w:val="035D5749"/>
    <w:rsid w:val="03A507DC"/>
    <w:rsid w:val="04C17862"/>
    <w:rsid w:val="04E41B77"/>
    <w:rsid w:val="057D13AE"/>
    <w:rsid w:val="063B0EDD"/>
    <w:rsid w:val="064116B8"/>
    <w:rsid w:val="064A667C"/>
    <w:rsid w:val="06B2613D"/>
    <w:rsid w:val="06B753E3"/>
    <w:rsid w:val="07321D04"/>
    <w:rsid w:val="08A51999"/>
    <w:rsid w:val="090041E8"/>
    <w:rsid w:val="09B849A4"/>
    <w:rsid w:val="09F160E3"/>
    <w:rsid w:val="0A9E0927"/>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8A2004D"/>
    <w:rsid w:val="19415809"/>
    <w:rsid w:val="197E6634"/>
    <w:rsid w:val="1B7329E7"/>
    <w:rsid w:val="1B8A2034"/>
    <w:rsid w:val="1BB46C31"/>
    <w:rsid w:val="1BC72FF7"/>
    <w:rsid w:val="1C161355"/>
    <w:rsid w:val="1CFF262F"/>
    <w:rsid w:val="1D03226A"/>
    <w:rsid w:val="1D5030CD"/>
    <w:rsid w:val="1D876087"/>
    <w:rsid w:val="1DFF64E4"/>
    <w:rsid w:val="1E313D4A"/>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16719E"/>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A75784"/>
    <w:rsid w:val="3581551C"/>
    <w:rsid w:val="35947F79"/>
    <w:rsid w:val="35D65FDD"/>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43745"/>
    <w:rsid w:val="3EEE419C"/>
    <w:rsid w:val="3EFE09FD"/>
    <w:rsid w:val="3F032E01"/>
    <w:rsid w:val="3F2C758E"/>
    <w:rsid w:val="3F345DBE"/>
    <w:rsid w:val="40164730"/>
    <w:rsid w:val="40E44318"/>
    <w:rsid w:val="40F15753"/>
    <w:rsid w:val="41F950F8"/>
    <w:rsid w:val="428A4A5E"/>
    <w:rsid w:val="42EB3BA1"/>
    <w:rsid w:val="42F51780"/>
    <w:rsid w:val="43F11831"/>
    <w:rsid w:val="43F63E0D"/>
    <w:rsid w:val="44092E2E"/>
    <w:rsid w:val="441077D2"/>
    <w:rsid w:val="44396064"/>
    <w:rsid w:val="458C38B3"/>
    <w:rsid w:val="459609D9"/>
    <w:rsid w:val="45A37566"/>
    <w:rsid w:val="45B634E5"/>
    <w:rsid w:val="45CF0A85"/>
    <w:rsid w:val="46020C32"/>
    <w:rsid w:val="46194A11"/>
    <w:rsid w:val="461E2AF1"/>
    <w:rsid w:val="47752ACA"/>
    <w:rsid w:val="477D75D8"/>
    <w:rsid w:val="47A71483"/>
    <w:rsid w:val="47C813F2"/>
    <w:rsid w:val="48352178"/>
    <w:rsid w:val="489B63EF"/>
    <w:rsid w:val="48D7317F"/>
    <w:rsid w:val="4953255E"/>
    <w:rsid w:val="49BF13F0"/>
    <w:rsid w:val="49C623EE"/>
    <w:rsid w:val="49D75468"/>
    <w:rsid w:val="49E169F0"/>
    <w:rsid w:val="4A1F6F8D"/>
    <w:rsid w:val="4A4A74EF"/>
    <w:rsid w:val="4A6F6249"/>
    <w:rsid w:val="4AA77B51"/>
    <w:rsid w:val="4AB74C38"/>
    <w:rsid w:val="4B14426D"/>
    <w:rsid w:val="4B3320E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29C26CA"/>
    <w:rsid w:val="538706F0"/>
    <w:rsid w:val="546B5509"/>
    <w:rsid w:val="548642E9"/>
    <w:rsid w:val="54A17941"/>
    <w:rsid w:val="54C12E33"/>
    <w:rsid w:val="55633225"/>
    <w:rsid w:val="556D6DC3"/>
    <w:rsid w:val="563B25E1"/>
    <w:rsid w:val="566A208A"/>
    <w:rsid w:val="56DD4D3A"/>
    <w:rsid w:val="57555A7B"/>
    <w:rsid w:val="5770382C"/>
    <w:rsid w:val="57846909"/>
    <w:rsid w:val="57A6753E"/>
    <w:rsid w:val="57CB522F"/>
    <w:rsid w:val="57F46FBE"/>
    <w:rsid w:val="58042686"/>
    <w:rsid w:val="58246D5D"/>
    <w:rsid w:val="58EC5960"/>
    <w:rsid w:val="58F05C44"/>
    <w:rsid w:val="58F400B4"/>
    <w:rsid w:val="59151C86"/>
    <w:rsid w:val="59732982"/>
    <w:rsid w:val="598F0769"/>
    <w:rsid w:val="59C52328"/>
    <w:rsid w:val="5AD37D8A"/>
    <w:rsid w:val="5AF87BF9"/>
    <w:rsid w:val="5B0F1B4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12735"/>
    <w:rsid w:val="61FB37A1"/>
    <w:rsid w:val="62710E5F"/>
    <w:rsid w:val="62AD0966"/>
    <w:rsid w:val="63735B47"/>
    <w:rsid w:val="63FF1EA7"/>
    <w:rsid w:val="64201218"/>
    <w:rsid w:val="64C32497"/>
    <w:rsid w:val="669D0EEA"/>
    <w:rsid w:val="66B64FC1"/>
    <w:rsid w:val="66C861F9"/>
    <w:rsid w:val="66D04BBC"/>
    <w:rsid w:val="67655BF9"/>
    <w:rsid w:val="678C3343"/>
    <w:rsid w:val="67C6389B"/>
    <w:rsid w:val="685D4EEE"/>
    <w:rsid w:val="68AE1587"/>
    <w:rsid w:val="68CC4906"/>
    <w:rsid w:val="68D53E8D"/>
    <w:rsid w:val="69605268"/>
    <w:rsid w:val="699C76C5"/>
    <w:rsid w:val="6A194855"/>
    <w:rsid w:val="6A2F056E"/>
    <w:rsid w:val="6A7219A6"/>
    <w:rsid w:val="6B292599"/>
    <w:rsid w:val="6D9172E5"/>
    <w:rsid w:val="6DF1703F"/>
    <w:rsid w:val="6E133456"/>
    <w:rsid w:val="6ECB7DD2"/>
    <w:rsid w:val="6F123DD8"/>
    <w:rsid w:val="6F1E315D"/>
    <w:rsid w:val="6F2A3FC1"/>
    <w:rsid w:val="6F79454F"/>
    <w:rsid w:val="6F9153AC"/>
    <w:rsid w:val="6FE61065"/>
    <w:rsid w:val="70521A25"/>
    <w:rsid w:val="70675779"/>
    <w:rsid w:val="708633A4"/>
    <w:rsid w:val="70C135EC"/>
    <w:rsid w:val="712C7DE8"/>
    <w:rsid w:val="713E0334"/>
    <w:rsid w:val="716F5E64"/>
    <w:rsid w:val="72417AFE"/>
    <w:rsid w:val="72585CB5"/>
    <w:rsid w:val="729B5F03"/>
    <w:rsid w:val="72D92B78"/>
    <w:rsid w:val="72F62A89"/>
    <w:rsid w:val="731B289D"/>
    <w:rsid w:val="736D22BA"/>
    <w:rsid w:val="737357AF"/>
    <w:rsid w:val="74163BE4"/>
    <w:rsid w:val="74A928A6"/>
    <w:rsid w:val="75161F9C"/>
    <w:rsid w:val="75281843"/>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7E700E"/>
    <w:rsid w:val="78E55995"/>
    <w:rsid w:val="79267C0B"/>
    <w:rsid w:val="79310F0C"/>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2024-10-31T03:05:00Z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