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53" w:name="_GoBack"/>
          <w:bookmarkEnd w:id="53"/>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_Toc2807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_Toc2669 </w:instrText>
          </w:r>
          <w:r>
            <w:rPr>
              <w:bCs/>
            </w:rPr>
            <w:fldChar w:fldCharType="separate"/>
          </w:r>
          <w:r>
            <w:rPr>
              <w:rFonts w:hint="eastAsia" w:ascii="Times New Roman" w:hAnsi="Times New Roman" w:eastAsia="楷体"/>
              <w:szCs w:val="24"/>
            </w:rPr>
            <w:t>股指：震荡偏强</w:t>
          </w:r>
          <w:r>
            <w:rPr>
              <w:bCs/>
            </w:rPr>
            <w:fldChar w:fldCharType="end"/>
          </w:r>
        </w:p>
        <w:p>
          <w:pPr>
            <w:pStyle w:val="59"/>
            <w:tabs>
              <w:tab w:val="right" w:leader="dot" w:pos="8306"/>
            </w:tabs>
          </w:pPr>
          <w:r>
            <w:rPr>
              <w:bCs/>
            </w:rPr>
            <w:fldChar w:fldCharType="begin"/>
          </w:r>
          <w:r>
            <w:rPr>
              <w:bCs/>
            </w:rPr>
            <w:instrText xml:space="preserve"> HYPERLINK \l _Toc29147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_Toc25623 </w:instrText>
          </w:r>
          <w:r>
            <w:rPr>
              <w:bCs/>
            </w:rPr>
            <w:fldChar w:fldCharType="separate"/>
          </w:r>
          <w:r>
            <w:rPr>
              <w:rFonts w:hint="eastAsia" w:ascii="Times New Roman" w:hAnsi="Times New Roman" w:eastAsia="楷体"/>
              <w:szCs w:val="24"/>
            </w:rPr>
            <w:t>贵金属：美元指数回落，贵金属价格小幅下跌</w:t>
          </w:r>
          <w:r>
            <w:rPr>
              <w:bCs/>
            </w:rPr>
            <w:fldChar w:fldCharType="end"/>
          </w:r>
        </w:p>
        <w:p>
          <w:pPr>
            <w:pStyle w:val="59"/>
            <w:tabs>
              <w:tab w:val="right" w:leader="dot" w:pos="8306"/>
            </w:tabs>
          </w:pPr>
          <w:r>
            <w:rPr>
              <w:bCs/>
            </w:rPr>
            <w:fldChar w:fldCharType="begin"/>
          </w:r>
          <w:r>
            <w:rPr>
              <w:bCs/>
            </w:rPr>
            <w:instrText xml:space="preserve"> HYPERLINK \l _Toc17916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_Toc8170 </w:instrText>
          </w:r>
          <w:r>
            <w:rPr>
              <w:bCs/>
            </w:rPr>
            <w:fldChar w:fldCharType="separate"/>
          </w:r>
          <w:r>
            <w:rPr>
              <w:rFonts w:hint="eastAsia" w:ascii="楷体" w:hAnsi="楷体" w:eastAsia="楷体"/>
              <w:szCs w:val="24"/>
            </w:rPr>
            <w:t>碳酸锂：周度库存小幅回落，期价或偏强震荡</w:t>
          </w:r>
          <w:r>
            <w:rPr>
              <w:bCs/>
            </w:rPr>
            <w:fldChar w:fldCharType="end"/>
          </w:r>
        </w:p>
        <w:p>
          <w:pPr>
            <w:pStyle w:val="74"/>
            <w:tabs>
              <w:tab w:val="right" w:leader="dot" w:pos="8306"/>
            </w:tabs>
          </w:pPr>
          <w:r>
            <w:rPr>
              <w:bCs/>
            </w:rPr>
            <w:fldChar w:fldCharType="begin"/>
          </w:r>
          <w:r>
            <w:rPr>
              <w:bCs/>
            </w:rPr>
            <w:instrText xml:space="preserve"> HYPERLINK \l _Toc22265 </w:instrText>
          </w:r>
          <w:r>
            <w:rPr>
              <w:bCs/>
            </w:rPr>
            <w:fldChar w:fldCharType="separate"/>
          </w:r>
          <w:r>
            <w:rPr>
              <w:rFonts w:hint="eastAsia" w:ascii="楷体" w:hAnsi="楷体" w:eastAsia="楷体"/>
              <w:szCs w:val="24"/>
            </w:rPr>
            <w:t>铝：短期保持震荡，趋势维持偏多观点</w:t>
          </w:r>
          <w:r>
            <w:rPr>
              <w:bCs/>
            </w:rPr>
            <w:fldChar w:fldCharType="end"/>
          </w:r>
        </w:p>
        <w:p>
          <w:pPr>
            <w:pStyle w:val="74"/>
            <w:tabs>
              <w:tab w:val="right" w:leader="dot" w:pos="8306"/>
            </w:tabs>
          </w:pPr>
          <w:r>
            <w:rPr>
              <w:bCs/>
            </w:rPr>
            <w:fldChar w:fldCharType="begin"/>
          </w:r>
          <w:r>
            <w:rPr>
              <w:bCs/>
            </w:rPr>
            <w:instrText xml:space="preserve"> HYPERLINK \l _Toc22580 </w:instrText>
          </w:r>
          <w:r>
            <w:rPr>
              <w:bCs/>
            </w:rPr>
            <w:fldChar w:fldCharType="separate"/>
          </w:r>
          <w:r>
            <w:rPr>
              <w:rFonts w:hint="eastAsia" w:ascii="楷体" w:hAnsi="楷体" w:eastAsia="楷体"/>
              <w:szCs w:val="24"/>
            </w:rPr>
            <w:t>锌：小幅弱向调整</w:t>
          </w:r>
          <w:r>
            <w:rPr>
              <w:bCs/>
            </w:rPr>
            <w:fldChar w:fldCharType="end"/>
          </w:r>
        </w:p>
        <w:p>
          <w:pPr>
            <w:pStyle w:val="74"/>
            <w:tabs>
              <w:tab w:val="right" w:leader="dot" w:pos="8306"/>
            </w:tabs>
          </w:pPr>
          <w:r>
            <w:rPr>
              <w:bCs/>
            </w:rPr>
            <w:fldChar w:fldCharType="begin"/>
          </w:r>
          <w:r>
            <w:rPr>
              <w:bCs/>
            </w:rPr>
            <w:instrText xml:space="preserve"> HYPERLINK \l _Toc17023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：震荡为主，关注本周宏观事件</w:t>
          </w:r>
          <w:r>
            <w:rPr>
              <w:bCs/>
            </w:rPr>
            <w:fldChar w:fldCharType="end"/>
          </w:r>
        </w:p>
        <w:p>
          <w:pPr>
            <w:pStyle w:val="74"/>
            <w:tabs>
              <w:tab w:val="right" w:leader="dot" w:pos="8306"/>
            </w:tabs>
          </w:pPr>
          <w:r>
            <w:rPr>
              <w:bCs/>
            </w:rPr>
            <w:fldChar w:fldCharType="begin"/>
          </w:r>
          <w:r>
            <w:rPr>
              <w:bCs/>
            </w:rPr>
            <w:instrText xml:space="preserve"> HYPERLINK \l _Toc22042 </w:instrText>
          </w:r>
          <w:r>
            <w:rPr>
              <w:bCs/>
            </w:rPr>
            <w:fldChar w:fldCharType="separate"/>
          </w:r>
          <w:r>
            <w:rPr>
              <w:rFonts w:hint="eastAsia" w:ascii="楷体" w:hAnsi="楷体" w:eastAsia="楷体"/>
              <w:szCs w:val="24"/>
            </w:rPr>
            <w:t>镍：短期镍价跟随宏观震荡</w:t>
          </w:r>
          <w:r>
            <w:rPr>
              <w:bCs/>
            </w:rPr>
            <w:fldChar w:fldCharType="end"/>
          </w:r>
        </w:p>
        <w:p>
          <w:pPr>
            <w:pStyle w:val="74"/>
            <w:tabs>
              <w:tab w:val="right" w:leader="dot" w:pos="8306"/>
            </w:tabs>
          </w:pPr>
          <w:r>
            <w:rPr>
              <w:bCs/>
            </w:rPr>
            <w:fldChar w:fldCharType="begin"/>
          </w:r>
          <w:r>
            <w:rPr>
              <w:bCs/>
            </w:rPr>
            <w:instrText xml:space="preserve"> HYPERLINK \l _Toc3720 </w:instrText>
          </w:r>
          <w:r>
            <w:rPr>
              <w:bCs/>
            </w:rPr>
            <w:fldChar w:fldCharType="separate"/>
          </w:r>
          <w:r>
            <w:rPr>
              <w:rFonts w:hint="eastAsia" w:ascii="楷体" w:hAnsi="楷体" w:eastAsia="楷体"/>
              <w:szCs w:val="24"/>
            </w:rPr>
            <w:t>锡：高位震荡</w:t>
          </w:r>
          <w:r>
            <w:rPr>
              <w:bCs/>
            </w:rPr>
            <w:fldChar w:fldCharType="end"/>
          </w:r>
        </w:p>
        <w:p>
          <w:pPr>
            <w:pStyle w:val="74"/>
            <w:tabs>
              <w:tab w:val="right" w:leader="dot" w:pos="8306"/>
            </w:tabs>
          </w:pPr>
          <w:r>
            <w:rPr>
              <w:bCs/>
            </w:rPr>
            <w:fldChar w:fldCharType="begin"/>
          </w:r>
          <w:r>
            <w:rPr>
              <w:bCs/>
            </w:rPr>
            <w:instrText xml:space="preserve"> HYPERLINK \l _Toc2927 </w:instrText>
          </w:r>
          <w:r>
            <w:rPr>
              <w:bCs/>
            </w:rPr>
            <w:fldChar w:fldCharType="separate"/>
          </w:r>
          <w:r>
            <w:rPr>
              <w:rFonts w:hint="eastAsia" w:ascii="楷体" w:hAnsi="楷体" w:eastAsia="楷体"/>
              <w:szCs w:val="24"/>
            </w:rPr>
            <w:t>铅：区间震荡盘整</w:t>
          </w:r>
          <w:r>
            <w:rPr>
              <w:bCs/>
            </w:rPr>
            <w:fldChar w:fldCharType="end"/>
          </w:r>
        </w:p>
        <w:p>
          <w:pPr>
            <w:pStyle w:val="74"/>
            <w:tabs>
              <w:tab w:val="right" w:leader="dot" w:pos="8306"/>
            </w:tabs>
          </w:pPr>
          <w:r>
            <w:rPr>
              <w:bCs/>
            </w:rPr>
            <w:fldChar w:fldCharType="begin"/>
          </w:r>
          <w:r>
            <w:rPr>
              <w:bCs/>
            </w:rPr>
            <w:instrText xml:space="preserve"> HYPERLINK \l _Toc25171 </w:instrText>
          </w:r>
          <w:r>
            <w:rPr>
              <w:bCs/>
            </w:rPr>
            <w:fldChar w:fldCharType="separate"/>
          </w:r>
          <w:r>
            <w:rPr>
              <w:rFonts w:hint="eastAsia" w:ascii="楷体" w:hAnsi="楷体" w:eastAsia="楷体"/>
              <w:szCs w:val="24"/>
            </w:rPr>
            <w:t>不锈钢：仓单库存高企，期价承压运行</w:t>
          </w:r>
          <w:r>
            <w:rPr>
              <w:bCs/>
            </w:rPr>
            <w:fldChar w:fldCharType="end"/>
          </w:r>
        </w:p>
        <w:p>
          <w:pPr>
            <w:pStyle w:val="74"/>
            <w:tabs>
              <w:tab w:val="right" w:leader="dot" w:pos="8306"/>
            </w:tabs>
          </w:pPr>
          <w:r>
            <w:rPr>
              <w:bCs/>
            </w:rPr>
            <w:fldChar w:fldCharType="begin"/>
          </w:r>
          <w:r>
            <w:rPr>
              <w:bCs/>
            </w:rPr>
            <w:instrText xml:space="preserve"> HYPERLINK \l _Toc29771 </w:instrText>
          </w:r>
          <w:r>
            <w:rPr>
              <w:bCs/>
            </w:rPr>
            <w:fldChar w:fldCharType="separate"/>
          </w:r>
          <w:r>
            <w:rPr>
              <w:rFonts w:hint="eastAsia" w:ascii="楷体" w:hAnsi="楷体" w:eastAsia="楷体"/>
              <w:szCs w:val="24"/>
            </w:rPr>
            <w:t>工业硅：枯水期来临，西南季节性减产</w:t>
          </w:r>
          <w:r>
            <w:rPr>
              <w:bCs/>
            </w:rPr>
            <w:fldChar w:fldCharType="end"/>
          </w:r>
        </w:p>
        <w:p>
          <w:pPr>
            <w:pStyle w:val="74"/>
            <w:tabs>
              <w:tab w:val="right" w:leader="dot" w:pos="8306"/>
            </w:tabs>
          </w:pPr>
          <w:r>
            <w:rPr>
              <w:bCs/>
            </w:rPr>
            <w:fldChar w:fldCharType="begin"/>
          </w:r>
          <w:r>
            <w:rPr>
              <w:bCs/>
            </w:rPr>
            <w:instrText xml:space="preserve"> HYPERLINK \l _Toc15397 </w:instrText>
          </w:r>
          <w:r>
            <w:rPr>
              <w:bCs/>
            </w:rPr>
            <w:fldChar w:fldCharType="separate"/>
          </w:r>
          <w:r>
            <w:rPr>
              <w:rFonts w:hint="eastAsia" w:ascii="楷体" w:hAnsi="楷体" w:eastAsia="楷体"/>
              <w:szCs w:val="24"/>
            </w:rPr>
            <w:t>螺纹钢：宏观情绪仍存，短期或震荡运行</w:t>
          </w:r>
          <w:r>
            <w:rPr>
              <w:bCs/>
            </w:rPr>
            <w:fldChar w:fldCharType="end"/>
          </w:r>
        </w:p>
        <w:p>
          <w:pPr>
            <w:pStyle w:val="59"/>
            <w:tabs>
              <w:tab w:val="right" w:leader="dot" w:pos="8306"/>
            </w:tabs>
          </w:pPr>
          <w:r>
            <w:rPr>
              <w:bCs/>
            </w:rPr>
            <w:fldChar w:fldCharType="begin"/>
          </w:r>
          <w:r>
            <w:rPr>
              <w:bCs/>
            </w:rPr>
            <w:instrText xml:space="preserve"> HYPERLINK \l _Toc26179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_Toc12827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国内外主产区降水减少 天胶供应上量预期强</w:t>
          </w:r>
          <w:r>
            <w:rPr>
              <w:bCs/>
            </w:rPr>
            <w:fldChar w:fldCharType="end"/>
          </w:r>
        </w:p>
        <w:p>
          <w:pPr>
            <w:pStyle w:val="74"/>
            <w:tabs>
              <w:tab w:val="right" w:leader="dot" w:pos="8306"/>
            </w:tabs>
          </w:pPr>
          <w:r>
            <w:rPr>
              <w:bCs/>
            </w:rPr>
            <w:fldChar w:fldCharType="begin"/>
          </w:r>
          <w:r>
            <w:rPr>
              <w:bCs/>
            </w:rPr>
            <w:instrText xml:space="preserve"> HYPERLINK \l _Toc17004 </w:instrText>
          </w:r>
          <w:r>
            <w:rPr>
              <w:bCs/>
            </w:rPr>
            <w:fldChar w:fldCharType="separate"/>
          </w:r>
          <w:r>
            <w:rPr>
              <w:rFonts w:hint="eastAsia" w:ascii="Times New Roman" w:hAnsi="Times New Roman" w:eastAsia="楷体"/>
              <w:szCs w:val="24"/>
            </w:rPr>
            <w:t>聚烯烃：供需面无明显亮点，聚烯烃随原油波动为主</w:t>
          </w:r>
          <w:r>
            <w:rPr>
              <w:bCs/>
            </w:rPr>
            <w:fldChar w:fldCharType="end"/>
          </w:r>
        </w:p>
        <w:p>
          <w:pPr>
            <w:pStyle w:val="74"/>
            <w:tabs>
              <w:tab w:val="right" w:leader="dot" w:pos="8306"/>
            </w:tabs>
          </w:pPr>
          <w:r>
            <w:rPr>
              <w:bCs/>
            </w:rPr>
            <w:fldChar w:fldCharType="begin"/>
          </w:r>
          <w:r>
            <w:rPr>
              <w:bCs/>
            </w:rPr>
            <w:instrText xml:space="preserve"> HYPERLINK \l _Toc32410 </w:instrText>
          </w:r>
          <w:r>
            <w:rPr>
              <w:bCs/>
            </w:rPr>
            <w:fldChar w:fldCharType="separate"/>
          </w:r>
          <w:r>
            <w:rPr>
              <w:rFonts w:hint="eastAsia" w:ascii="Times New Roman" w:hAnsi="Times New Roman" w:eastAsia="楷体"/>
              <w:szCs w:val="24"/>
            </w:rPr>
            <w:t>原油：飓风Francine助力，原油期货强势反弹</w:t>
          </w:r>
          <w:r>
            <w:rPr>
              <w:bCs/>
            </w:rPr>
            <w:fldChar w:fldCharType="end"/>
          </w:r>
        </w:p>
        <w:p>
          <w:pPr>
            <w:pStyle w:val="74"/>
            <w:tabs>
              <w:tab w:val="right" w:leader="dot" w:pos="8306"/>
            </w:tabs>
          </w:pPr>
          <w:r>
            <w:rPr>
              <w:bCs/>
            </w:rPr>
            <w:fldChar w:fldCharType="begin"/>
          </w:r>
          <w:r>
            <w:rPr>
              <w:bCs/>
            </w:rPr>
            <w:instrText xml:space="preserve"> HYPERLINK \l _Toc26782 </w:instrText>
          </w:r>
          <w:r>
            <w:rPr>
              <w:bCs/>
            </w:rPr>
            <w:fldChar w:fldCharType="separate"/>
          </w:r>
          <w:r>
            <w:rPr>
              <w:rFonts w:hint="eastAsia" w:ascii="Times New Roman" w:hAnsi="Times New Roman" w:eastAsia="楷体"/>
              <w:szCs w:val="24"/>
            </w:rPr>
            <w:t>燃料油及低硫燃料油：燃料油期货夜盘上扬，弱势格局待破局</w:t>
          </w:r>
          <w:r>
            <w:rPr>
              <w:bCs/>
            </w:rPr>
            <w:fldChar w:fldCharType="end"/>
          </w:r>
        </w:p>
        <w:p>
          <w:pPr>
            <w:pStyle w:val="74"/>
            <w:tabs>
              <w:tab w:val="right" w:leader="dot" w:pos="8306"/>
            </w:tabs>
          </w:pPr>
          <w:r>
            <w:rPr>
              <w:bCs/>
            </w:rPr>
            <w:fldChar w:fldCharType="begin"/>
          </w:r>
          <w:r>
            <w:rPr>
              <w:bCs/>
            </w:rPr>
            <w:instrText xml:space="preserve"> HYPERLINK \l _Toc23832 </w:instrText>
          </w:r>
          <w:r>
            <w:rPr>
              <w:bCs/>
            </w:rPr>
            <w:fldChar w:fldCharType="separate"/>
          </w:r>
          <w:r>
            <w:rPr>
              <w:rFonts w:hint="eastAsia" w:ascii="Times New Roman" w:hAnsi="Times New Roman" w:eastAsia="楷体"/>
              <w:szCs w:val="24"/>
            </w:rPr>
            <w:t>沥青：沥青期货价格上扬，弱稳格局待突破</w:t>
          </w:r>
          <w:r>
            <w:rPr>
              <w:bCs/>
            </w:rPr>
            <w:fldChar w:fldCharType="end"/>
          </w:r>
        </w:p>
        <w:p>
          <w:pPr>
            <w:pStyle w:val="74"/>
            <w:tabs>
              <w:tab w:val="right" w:leader="dot" w:pos="8306"/>
            </w:tabs>
          </w:pPr>
          <w:r>
            <w:rPr>
              <w:bCs/>
            </w:rPr>
            <w:fldChar w:fldCharType="begin"/>
          </w:r>
          <w:r>
            <w:rPr>
              <w:bCs/>
            </w:rPr>
            <w:instrText xml:space="preserve"> HYPERLINK \l _Toc32135 </w:instrText>
          </w:r>
          <w:r>
            <w:rPr>
              <w:bCs/>
            </w:rPr>
            <w:fldChar w:fldCharType="separate"/>
          </w:r>
          <w:r>
            <w:rPr>
              <w:rFonts w:hint="eastAsia" w:ascii="Times New Roman" w:hAnsi="Times New Roman" w:eastAsia="楷体"/>
              <w:szCs w:val="24"/>
            </w:rPr>
            <w:t>PTA：跟随宏观及成本端波动</w:t>
          </w:r>
          <w:r>
            <w:rPr>
              <w:bCs/>
            </w:rPr>
            <w:fldChar w:fldCharType="end"/>
          </w:r>
        </w:p>
        <w:p>
          <w:pPr>
            <w:pStyle w:val="74"/>
            <w:tabs>
              <w:tab w:val="right" w:leader="dot" w:pos="8306"/>
            </w:tabs>
          </w:pPr>
          <w:r>
            <w:rPr>
              <w:bCs/>
            </w:rPr>
            <w:fldChar w:fldCharType="begin"/>
          </w:r>
          <w:r>
            <w:rPr>
              <w:bCs/>
            </w:rPr>
            <w:instrText xml:space="preserve"> HYPERLINK \l _Toc8788 </w:instrText>
          </w:r>
          <w:r>
            <w:rPr>
              <w:bCs/>
            </w:rPr>
            <w:fldChar w:fldCharType="separate"/>
          </w:r>
          <w:r>
            <w:rPr>
              <w:rFonts w:hint="eastAsia" w:ascii="Times New Roman" w:hAnsi="Times New Roman" w:eastAsia="楷体"/>
              <w:szCs w:val="24"/>
            </w:rPr>
            <w:t>乙二醇：开工下滑及下游改善 震荡偏强</w:t>
          </w:r>
          <w:r>
            <w:rPr>
              <w:bCs/>
            </w:rPr>
            <w:fldChar w:fldCharType="end"/>
          </w:r>
        </w:p>
        <w:p>
          <w:pPr>
            <w:pStyle w:val="59"/>
            <w:tabs>
              <w:tab w:val="right" w:leader="dot" w:pos="8306"/>
            </w:tabs>
          </w:pPr>
          <w:r>
            <w:rPr>
              <w:bCs/>
            </w:rPr>
            <w:fldChar w:fldCharType="begin"/>
          </w:r>
          <w:r>
            <w:rPr>
              <w:bCs/>
            </w:rPr>
            <w:instrText xml:space="preserve"> HYPERLINK \l _Toc25227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_Toc4927 </w:instrText>
          </w:r>
          <w:r>
            <w:rPr>
              <w:bCs/>
            </w:rPr>
            <w:fldChar w:fldCharType="separate"/>
          </w:r>
          <w:r>
            <w:rPr>
              <w:rFonts w:hint="eastAsia" w:ascii="楷体" w:hAnsi="楷体" w:eastAsia="楷体"/>
              <w:bCs/>
            </w:rPr>
            <w:t>玉米与淀粉：</w:t>
          </w:r>
          <w:r>
            <w:rPr>
              <w:rFonts w:hint="eastAsia" w:ascii="楷体" w:hAnsi="楷体" w:eastAsia="楷体"/>
            </w:rPr>
            <w:t>期价出现较大幅度回落</w:t>
          </w:r>
          <w:r>
            <w:rPr>
              <w:bCs/>
            </w:rPr>
            <w:fldChar w:fldCharType="end"/>
          </w:r>
        </w:p>
        <w:p>
          <w:pPr>
            <w:pStyle w:val="74"/>
            <w:tabs>
              <w:tab w:val="right" w:leader="dot" w:pos="8306"/>
            </w:tabs>
          </w:pPr>
          <w:r>
            <w:rPr>
              <w:bCs/>
            </w:rPr>
            <w:fldChar w:fldCharType="begin"/>
          </w:r>
          <w:r>
            <w:rPr>
              <w:bCs/>
            </w:rPr>
            <w:instrText xml:space="preserve"> HYPERLINK \l _Toc30092 </w:instrText>
          </w:r>
          <w:r>
            <w:rPr>
              <w:bCs/>
            </w:rPr>
            <w:fldChar w:fldCharType="separate"/>
          </w:r>
          <w:r>
            <w:rPr>
              <w:rFonts w:hint="eastAsia" w:ascii="楷体" w:hAnsi="楷体" w:eastAsia="楷体"/>
              <w:bCs/>
            </w:rPr>
            <w:t>畜禽养殖：鸡蛋期价大幅反弹</w:t>
          </w:r>
          <w:r>
            <w:rPr>
              <w:bCs/>
            </w:rPr>
            <w:fldChar w:fldCharType="end"/>
          </w:r>
        </w:p>
        <w:p>
          <w:pPr>
            <w:pStyle w:val="74"/>
            <w:tabs>
              <w:tab w:val="right" w:leader="dot" w:pos="8306"/>
            </w:tabs>
          </w:pPr>
          <w:r>
            <w:rPr>
              <w:bCs/>
            </w:rPr>
            <w:fldChar w:fldCharType="begin"/>
          </w:r>
          <w:r>
            <w:rPr>
              <w:bCs/>
            </w:rPr>
            <w:instrText xml:space="preserve"> HYPERLINK \l _Toc22552 </w:instrText>
          </w:r>
          <w:r>
            <w:rPr>
              <w:bCs/>
            </w:rPr>
            <w:fldChar w:fldCharType="separate"/>
          </w:r>
          <w:r>
            <w:rPr>
              <w:rFonts w:hint="eastAsia" w:ascii="楷体" w:hAnsi="楷体" w:eastAsia="楷体"/>
              <w:bCs/>
            </w:rPr>
            <w:t>白糖：内外糖价高位区间宽幅震荡整理，短期向下突破可能性较大</w:t>
          </w:r>
          <w:r>
            <w:rPr>
              <w:bCs/>
            </w:rPr>
            <w:fldChar w:fldCharType="end"/>
          </w:r>
        </w:p>
        <w:p>
          <w:pPr>
            <w:pStyle w:val="74"/>
            <w:tabs>
              <w:tab w:val="right" w:leader="dot" w:pos="8306"/>
            </w:tabs>
          </w:pPr>
          <w:r>
            <w:rPr>
              <w:bCs/>
            </w:rPr>
            <w:fldChar w:fldCharType="begin"/>
          </w:r>
          <w:r>
            <w:rPr>
              <w:bCs/>
            </w:rPr>
            <w:instrText xml:space="preserve"> HYPERLINK \l _Toc8206 </w:instrText>
          </w:r>
          <w:r>
            <w:rPr>
              <w:bCs/>
            </w:rPr>
            <w:fldChar w:fldCharType="separate"/>
          </w:r>
          <w:r>
            <w:rPr>
              <w:rFonts w:hint="eastAsia" w:ascii="楷体" w:hAnsi="楷体" w:eastAsia="楷体"/>
              <w:bCs/>
            </w:rPr>
            <w:t>棉花：预计郑棉区间震荡</w:t>
          </w:r>
          <w:r>
            <w:rPr>
              <w:bCs/>
            </w:rPr>
            <w:fldChar w:fldCharType="end"/>
          </w:r>
        </w:p>
        <w:p>
          <w:pPr>
            <w:pStyle w:val="74"/>
            <w:tabs>
              <w:tab w:val="right" w:leader="dot" w:pos="8306"/>
            </w:tabs>
          </w:pPr>
          <w:r>
            <w:rPr>
              <w:bCs/>
            </w:rPr>
            <w:fldChar w:fldCharType="begin"/>
          </w:r>
          <w:r>
            <w:rPr>
              <w:bCs/>
            </w:rPr>
            <w:instrText xml:space="preserve"> HYPERLINK \l _Toc5519 </w:instrText>
          </w:r>
          <w:r>
            <w:rPr>
              <w:bCs/>
            </w:rPr>
            <w:fldChar w:fldCharType="separate"/>
          </w:r>
          <w:r>
            <w:rPr>
              <w:rFonts w:hint="eastAsia" w:ascii="楷体" w:hAnsi="楷体" w:eastAsia="楷体"/>
              <w:bCs/>
            </w:rPr>
            <w:t>苹果：区间震荡，消化前期涨幅</w:t>
          </w:r>
          <w:r>
            <w:rPr>
              <w:bCs/>
            </w:rPr>
            <w:fldChar w:fldCharType="end"/>
          </w:r>
        </w:p>
        <w:p>
          <w:pPr>
            <w:pStyle w:val="74"/>
            <w:tabs>
              <w:tab w:val="right" w:leader="dot" w:pos="8306"/>
            </w:tabs>
          </w:pPr>
          <w:r>
            <w:rPr>
              <w:bCs/>
            </w:rPr>
            <w:fldChar w:fldCharType="begin"/>
          </w:r>
          <w:r>
            <w:rPr>
              <w:bCs/>
            </w:rPr>
            <w:instrText xml:space="preserve"> HYPERLINK \l _Toc14416 </w:instrText>
          </w:r>
          <w:r>
            <w:rPr>
              <w:bCs/>
            </w:rPr>
            <w:fldChar w:fldCharType="separate"/>
          </w:r>
          <w:r>
            <w:rPr>
              <w:rFonts w:hint="eastAsia" w:ascii="楷体" w:hAnsi="楷体" w:eastAsia="楷体"/>
              <w:bCs/>
            </w:rPr>
            <w:t>蛋白粕：短期供应端压力略减，但偏弱运行不改</w:t>
          </w:r>
          <w:r>
            <w:rPr>
              <w:bCs/>
            </w:rPr>
            <w:fldChar w:fldCharType="end"/>
          </w:r>
        </w:p>
        <w:p>
          <w:pPr>
            <w:pStyle w:val="74"/>
            <w:tabs>
              <w:tab w:val="right" w:leader="dot" w:pos="8306"/>
            </w:tabs>
          </w:pPr>
          <w:r>
            <w:rPr>
              <w:bCs/>
            </w:rPr>
            <w:fldChar w:fldCharType="begin"/>
          </w:r>
          <w:r>
            <w:rPr>
              <w:bCs/>
            </w:rPr>
            <w:instrText xml:space="preserve"> HYPERLINK \l _Toc17393 </w:instrText>
          </w:r>
          <w:r>
            <w:rPr>
              <w:bCs/>
            </w:rPr>
            <w:fldChar w:fldCharType="separate"/>
          </w:r>
          <w:r>
            <w:rPr>
              <w:rFonts w:hint="eastAsia" w:ascii="楷体" w:hAnsi="楷体" w:eastAsia="楷体"/>
              <w:bCs/>
            </w:rPr>
            <w:t>油脂类：马棕产量环比减少，供应偏紧支撑期价</w:t>
          </w:r>
          <w:r>
            <w:rPr>
              <w:bCs/>
            </w:rPr>
            <w:fldChar w:fldCharType="end"/>
          </w:r>
        </w:p>
        <w:p>
          <w:pPr>
            <w:pStyle w:val="59"/>
            <w:tabs>
              <w:tab w:val="right" w:leader="dot" w:pos="8306"/>
            </w:tabs>
          </w:pPr>
          <w:r>
            <w:rPr>
              <w:bCs/>
            </w:rPr>
            <w:fldChar w:fldCharType="begin"/>
          </w:r>
          <w:r>
            <w:rPr>
              <w:bCs/>
            </w:rPr>
            <w:instrText xml:space="preserve"> HYPERLINK \l _Toc3151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_Toc23713 </w:instrText>
          </w:r>
          <w:r>
            <w:rPr>
              <w:bCs/>
            </w:rPr>
            <w:fldChar w:fldCharType="separate"/>
          </w:r>
          <w:r>
            <w:rPr>
              <w:rFonts w:hint="eastAsia" w:ascii="Times New Roman" w:hAnsi="Times New Roman" w:eastAsia="楷体"/>
              <w:szCs w:val="24"/>
            </w:rPr>
            <w:t>集运指数（欧线）：运价略微回落，期价小幅下跌</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2807"/>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2669"/>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震荡偏强</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11月4日，开盘后震荡走高，尾盘加速上涨，收盘重回5日均线上方。万得全A大幅上涨1.71%，成交额为1.72万亿元，较前一交易日有所缩量，同时连续24日成交额突破万亿。</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市场在等待美国大选结果和财政发力细节落地，同时在资金面和风险偏好支撑下仍然整体维持强势震荡的特征，但短期部分高位题材股在交易过热后也出现了明显回落迹象。短期可以等待内外部不确定性落地，1. 人大常委会政策布局不论短期是否超预期，都将开启国内政策效果验证期。2. 特朗普交易短期预期充分，美国大选的短期影响可能并不大，但美国后续贸易政策布局，可能是反复的过程，风险偏好受压制的时间可能更长。3.特朗普交易 + 美国通胀本就易反复的格局，也是中期变数。但11月美联储降息25bp是大概率，短期可能不是扰动来源。</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29147"/>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25623"/>
      <w:r>
        <w:rPr>
          <w:rFonts w:hint="eastAsia" w:ascii="Times New Roman" w:hAnsi="Times New Roman" w:eastAsia="楷体"/>
          <w:b/>
          <w:color w:val="000000" w:themeColor="text1"/>
          <w:sz w:val="24"/>
          <w:szCs w:val="24"/>
          <w14:textFill>
            <w14:solidFill>
              <w14:schemeClr w14:val="tx1"/>
            </w14:solidFill>
          </w14:textFill>
        </w:rPr>
        <w:t>贵金属：美元指数回落，贵金属价格小幅下跌</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美元指数跌0.41%至103.90，沪金跌0.37%至625.52元/克，沪银微跌0.04%至7971元/千克。美国9月工厂订单环比降0.5%，预期降0.4%，前值由降0.2%修正为降0.8%。欧元区10月制造业PMI终值46，预期45.9，初值45.9，9月终值45.0。美国10月ISM制造业PMI下降至46.5，为15个月以来新低，弱于预期。此前美联储和白宫官员提前向市场发声提示飓风及波音罢工对10月就业产生不利影响，美国10月新增非农就业人数录得增1.2万人，较上月而言下行21.1万人，低于此前预期。对于美国政府债务持续膨胀的担忧持续、去美元化趋势及地缘冲突等仍然支撑贵金属长线表现，周内关注美国大选结果、美联储议息会议，期价或高位震荡。</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20891"/>
      <w:bookmarkStart w:id="11" w:name="金属"/>
      <w:bookmarkStart w:id="12" w:name="_Toc3096"/>
      <w:bookmarkStart w:id="13" w:name="_Toc17916"/>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8170"/>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碳酸锂：周度库存小幅回落，期价或偏强震荡</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期价小幅上涨，01合约收涨1.05%至77250元/吨。碳酸锂周度库存维持回落，周环比下降2.12%至约11.41万吨；上游库存周环比下降12.03%至约4.05万吨，贸易商等中游环节库存周环比大幅增加9.40%至约4.22万吨，下游库存周环比小幅下降1.77%至约3.14万吨。11月正极、电池企业整体排产环比微增，略好于此前预期。11月4日交割配对2818手，11月累计配对7656手。下游排产略好于预期以及澳矿减产预期兑现等因素推动期价上涨，后续期价或偏强震荡。</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8" w:name="_Toc8897"/>
      <w:bookmarkStart w:id="19" w:name="_Toc6247"/>
      <w:bookmarkStart w:id="20" w:name="_Toc22265"/>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短期保持震荡，趋势维持偏多观点</w:t>
      </w:r>
      <w:bookmarkEnd w:id="20"/>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美国非农超预期下降，数据或有失真可参考意义削弱，欧美PMI数据仍在收缩区间，国内PMI数据连续两月在扩张区间，叠加三季度GDP表现亮眼，市场对国内经济复苏仍有乐观预期。</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国内铝土矿供应压力或逐步在几内亚进口矿量抬升的节奏中逐步缓解，持续关注进口矿量变化情况，氧化铝价格高位，电解铝成本支撑抬升，电解铝厂氧化铝原料库存低位，反映现货市场流通货源紧张，氧化铝虽有冗余产能但受矿紧限制投产难增，氧化铝-电解铝供需目前维持紧平衡状态，下游电解铝开产高位，预计年内产能可达4400万吨，云南枯水期不减产，电解铝供应高位并保持相对稳定，铝棒、铝锭库存持续去库。</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宏观风险主要关注美国大选及联储降息节奏情况变化，基本面保持原料紧张，供应稳定高产，下游需求确有改善，近期市场资金在宏观不</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确定性环境下较为谨慎，铝价短期维持震荡盘整，趋势依旧偏多看待。</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22580"/>
      <w:r>
        <w:rPr>
          <w:rFonts w:hint="eastAsia" w:ascii="楷体" w:hAnsi="楷体" w:eastAsia="楷体"/>
          <w:b/>
          <w:color w:val="000000" w:themeColor="text1"/>
          <w:sz w:val="24"/>
          <w:szCs w:val="24"/>
          <w14:textFill>
            <w14:solidFill>
              <w14:schemeClr w14:val="tx1"/>
            </w14:solidFill>
          </w14:textFill>
        </w:rPr>
        <w:t>锌：小幅弱向调整</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近期需关注美国大选及美联储降息情况，全球经济衰退担忧情绪仍存，国内政策面稳中向好，10月PMI数据落在扩张区间，国内地产、出行等消费明显改善。矿端供应维持紧张格局，北方矿山面临季节性减产，进入冬季下游有冬储需求，预计TC加工费保持低位提增有限，精炼锌产量略有抬升，部分厂家因冶炼利润亏损有减产观望预期，下游企业开工率有小幅改善，海外库存累增，国内库存保持低位，需求旺季不旺，进入淡季持续观望需求变化情况。</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锌价高位震荡运行，矿紧传导的供应边际收缩对锌价形成较强支撑，现实需求表现较弱，后续关注宏观情绪叠加需求改善情况，短期锌价或有小幅回调盘整，中长维持多配观点。</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17023"/>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：震荡为主，关注本周宏观事件</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(1)库存：11月4日，SHFE仓单库存49573吨，减1829吨；LME仓单库存273850吨，增2475吨。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(2)精废价差：11月4日，Mysteel精废价差1312，扩张174。目前价差在合理价差1468之下。</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海外方面，飓风和罢工拖累10月美国非农转差，但美国就业市场真实需求并不弱，不至于引发衰退交易，短期市场关注本周国内会议及美国大选。基本面，国内社会库存未继续累增，交易所库存连续两周去化，铜精矿TC小幅上涨，但由于现货散单TC持续偏低，明年长单的确定或存在较大分歧，而倘着长时间的低加工费可能会令冶炼厂存在减产压力。整体而言，短期铜价仍受宏观主导，预计本周价格波动率会有所放大，参考7.5-7.8万。</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22042"/>
      <w:r>
        <w:rPr>
          <w:rFonts w:hint="eastAsia" w:ascii="楷体" w:hAnsi="楷体" w:eastAsia="楷体"/>
          <w:b/>
          <w:color w:val="000000" w:themeColor="text1"/>
          <w:sz w:val="24"/>
          <w:szCs w:val="24"/>
          <w14:textFill>
            <w14:solidFill>
              <w14:schemeClr w14:val="tx1"/>
            </w14:solidFill>
          </w14:textFill>
        </w:rPr>
        <w:t>镍：短期镍价跟随宏观震荡</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国内人大会议于本周举行，关注财政政策力度；海外一是关注11月5日美国大选，二是美国10月新增非农数据大幅下降，超出市场预期，市场可能对此解读为美联储降息预期升温。镍矿方面，矿端价格支撑有走弱迹象，印尼中高品味镍矿内贸升水从10月的22美元/湿吨下调至11月的17美元/湿吨。供需方面，精炼镍基本面未有明显变化，延续过剩格局。综合而言，美国非农数据超预期下降或使降息预期升温，人大会议与美国大选在即，宏观情绪具有不确定性，为镍价增加弹性，但基本面延续过剩格局，LME累库明显，矿端支撑存在减弱预期，镍价上方空间始终有限，短期镍价运行区间参考120000-132000元/吨。</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3720"/>
      <w:r>
        <w:rPr>
          <w:rFonts w:hint="eastAsia" w:ascii="楷体" w:hAnsi="楷体" w:eastAsia="楷体"/>
          <w:b/>
          <w:color w:val="000000" w:themeColor="text1"/>
          <w:sz w:val="24"/>
          <w:szCs w:val="24"/>
          <w14:textFill>
            <w14:solidFill>
              <w14:schemeClr w14:val="tx1"/>
            </w14:solidFill>
          </w14:textFill>
        </w:rPr>
        <w:t>锡：高位震荡</w:t>
      </w:r>
      <w:bookmarkEnd w:id="24"/>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缅甸锡矿目前并未有明确复产消息，锡矿供应仍保持偏紧态势，加工费维持低位运行，10月随着国内大型炼厂检修结束，云南、江西锡锭开工率恢复至正常水平。下游需求相对平稳，上周锡锭社会库存减214吨至9781吨。短期市场关注周内美国大选及国内重要会议，预计价格维持区间震荡运行，参考25.5-26.5万。</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2927"/>
      <w:r>
        <w:rPr>
          <w:rFonts w:hint="eastAsia" w:ascii="楷体" w:hAnsi="楷体" w:eastAsia="楷体"/>
          <w:b/>
          <w:color w:val="000000" w:themeColor="text1"/>
          <w:sz w:val="24"/>
          <w:szCs w:val="24"/>
          <w14:textFill>
            <w14:solidFill>
              <w14:schemeClr w14:val="tx1"/>
            </w14:solidFill>
          </w14:textFill>
        </w:rPr>
        <w:t>铅：区间震荡盘整</w:t>
      </w:r>
      <w:bookmarkEnd w:id="25"/>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非农超预期下降，数据或有失真可参考意义削弱，欧美PMI数据仍在收缩区间，国内PMI数据连续两月在扩张区间，叠加三季度GDP表现亮眼，市场对国内经济复苏仍有乐观预期。国内铝土矿供应压力或逐步在几内亚进口矿量抬升的节奏中逐步缓解，持续关注进口矿量变化情况，氧化铝价格高位，电解铝成本支撑抬升，电解铝厂氧化铝原料库存低位，反映现货市场流通货源紧张，氧化铝虽有冗余产能但受矿紧限制投产难增，氧化铝-电解铝供需目前维持紧平衡状态，下游电解铝开产高位，预计年内产能可达4400万吨，云南枯水期不减产，电解铝供应高位并保持相对稳定，铝棒、铝锭库存持续去库。</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宏观风险主要关注美国大选及联储降息节奏情况变化，基本面保持原料紧张，供应稳定高产，下游需求确有改善，近期市场资金在宏观不</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确定性环境下较为谨慎，铝价短期震荡盘整，趋势依旧偏多看待。</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25171"/>
      <w:r>
        <w:rPr>
          <w:rFonts w:hint="eastAsia" w:ascii="楷体" w:hAnsi="楷体" w:eastAsia="楷体"/>
          <w:b/>
          <w:color w:val="000000" w:themeColor="text1"/>
          <w:sz w:val="24"/>
          <w:szCs w:val="24"/>
          <w14:textFill>
            <w14:solidFill>
              <w14:schemeClr w14:val="tx1"/>
            </w14:solidFill>
          </w14:textFill>
        </w:rPr>
        <w:t>不锈钢：仓单库存高企，期价承压运行</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矿方面，随着印尼镍矿审批配额释放，矿端价格支撑已有走弱迹象，11月印尼中高品味镍矿内贸升水下调至17美元/湿吨，但印尼政府把控下，未来镍矿回调节奏仍需观察。镍铁方面，镍铁厂家挺价，为不锈钢提供较强成本支撑，但鉴于不锈钢需求弱势及矿端支撑回落预期，后市镍铁价格存在小幅下调空间。供应方面，11月不锈钢粗钢排产329.6万吨，月环比增加1%。需求方面，金九银十传统旺季基本落空，房地产等宏观利好政策对不锈钢需求改善作用仍需要时间等待。社会库存方面，上周不锈钢89仓库口径社会库存100.11万吨，环比下降2.89%；截至11月4日，不锈钢期货库存10.7万吨，处于近年高位水平。综合而言，镍铁价格暂坚挺，为不锈钢价格提供底部支撑，但供应维持高位而淡季需求难见明显起色，加上矿端支撑回落预期和仓单库存高位压力，不锈钢期价承压运行。</w:t>
      </w:r>
    </w:p>
    <w:p>
      <w:pPr>
        <w:rPr>
          <w:rFonts w:ascii="楷体" w:hAnsi="楷体" w:eastAsia="楷体"/>
          <w:bCs/>
          <w:sz w:val="24"/>
          <w:szCs w:val="24"/>
        </w:rPr>
      </w:pPr>
    </w:p>
    <w:p>
      <w:pPr>
        <w:ind w:left="420" w:leftChars="200"/>
        <w:outlineLvl w:val="1"/>
        <w:rPr>
          <w:rFonts w:ascii="楷体" w:hAnsi="楷体" w:eastAsia="楷体"/>
          <w:b/>
          <w:sz w:val="24"/>
          <w:szCs w:val="24"/>
        </w:rPr>
      </w:pPr>
      <w:bookmarkStart w:id="27" w:name="_Toc29771"/>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枯水期来临，西南季节性减产</w:t>
      </w:r>
      <w:bookmarkEnd w:id="27"/>
    </w:p>
    <w:p>
      <w:pPr>
        <w:ind w:left="630" w:leftChars="300"/>
        <w:rPr>
          <w:rFonts w:ascii="楷体" w:hAnsi="楷体" w:eastAsia="楷体"/>
          <w:sz w:val="24"/>
          <w:szCs w:val="24"/>
        </w:rPr>
      </w:pPr>
      <w:r>
        <w:rPr>
          <w:rFonts w:hint="eastAsia" w:ascii="楷体" w:hAnsi="楷体" w:eastAsia="楷体"/>
          <w:sz w:val="24"/>
          <w:szCs w:val="24"/>
        </w:rPr>
        <w:t>11月4日，Si2412主力合约呈低开反弹走势，收盘价12910元/吨，较上一收盘价涨跌幅＋0.04%。西南正式进入枯水期，供应压力将边际改善，但由于北方存在新增产能投放预期，同时需求暂无改善预期，基本面改善幅度相对有限，以及行业库存依旧较高，月底仓单集中注销后将流回现货市场，对反弹仍有压制。临近美国大选以及国内重要会议，市场仍有大幅波动可能性，盘面以宽幅震荡对待，Si2412合约参考区间（12500，13400）。策略上，恢复波段操作思路。</w:t>
      </w:r>
    </w:p>
    <w:p>
      <w:pPr>
        <w:ind w:firstLine="420" w:firstLineChars="200"/>
        <w:rPr>
          <w:rFonts w:ascii="Times New Roman" w:hAnsi="Times New Roman" w:eastAsia="楷体"/>
          <w:bCs/>
        </w:rPr>
      </w:pPr>
    </w:p>
    <w:p>
      <w:pPr>
        <w:ind w:left="420" w:leftChars="200"/>
        <w:outlineLvl w:val="1"/>
        <w:rPr>
          <w:rFonts w:ascii="楷体" w:hAnsi="楷体" w:eastAsia="楷体"/>
          <w:b/>
          <w:sz w:val="24"/>
          <w:szCs w:val="24"/>
        </w:rPr>
      </w:pPr>
      <w:bookmarkStart w:id="28" w:name="_Toc15397"/>
      <w:r>
        <w:rPr>
          <w:rFonts w:hint="eastAsia" w:ascii="楷体" w:hAnsi="楷体" w:eastAsia="楷体"/>
          <w:b/>
          <w:color w:val="000000" w:themeColor="text1"/>
          <w:sz w:val="24"/>
          <w:szCs w:val="24"/>
          <w14:textFill>
            <w14:solidFill>
              <w14:schemeClr w14:val="tx1"/>
            </w14:solidFill>
          </w14:textFill>
        </w:rPr>
        <w:t>螺纹钢：宏观情绪仍存，短期或震荡运行</w:t>
      </w:r>
      <w:bookmarkEnd w:id="28"/>
    </w:p>
    <w:p>
      <w:pPr>
        <w:ind w:left="630" w:leftChars="300"/>
        <w:rPr>
          <w:rFonts w:ascii="楷体" w:hAnsi="楷体" w:eastAsia="楷体"/>
          <w:sz w:val="24"/>
          <w:szCs w:val="24"/>
        </w:rPr>
      </w:pPr>
      <w:r>
        <w:rPr>
          <w:rFonts w:hint="eastAsia" w:ascii="楷体" w:hAnsi="楷体" w:eastAsia="楷体"/>
          <w:sz w:val="24"/>
          <w:szCs w:val="24"/>
        </w:rPr>
        <w:t>从宏观面来看，美国大选临近，同时国内即将召开人大常委会，将成增量政策落地“关键窗口”，市场情绪仍有一定支撑;从基本面来看，步入季节性淡季，行业呈现供强需弱格局，库存去化也已边际放缓，阶段性供需压力有所加大，对盘面反弹存在压制。在基本面偏弱情况下，但宏观情绪仍有一定支撑，短期盘面以震荡对待，后续重点关注政策发力情况。</w:t>
      </w: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9" w:name="化工"/>
      <w:r>
        <w:rPr>
          <w:rFonts w:hint="eastAsia" w:ascii="Times New Roman" w:hAnsi="Times New Roman" w:eastAsia="楷体"/>
          <w:b/>
          <w:color w:val="823C0B"/>
          <w:sz w:val="30"/>
          <w:szCs w:val="30"/>
        </w:rPr>
        <w:t xml:space="preserve"> </w:t>
      </w:r>
      <w:bookmarkStart w:id="30" w:name="_Toc26179"/>
      <w:r>
        <w:rPr>
          <w:rFonts w:hint="eastAsia" w:ascii="Times New Roman" w:hAnsi="Times New Roman" w:eastAsia="楷体"/>
          <w:b/>
          <w:color w:val="823C0B"/>
          <w:sz w:val="30"/>
          <w:szCs w:val="30"/>
        </w:rPr>
        <w:t>[化工]</w:t>
      </w:r>
      <w:bookmarkEnd w:id="29"/>
      <w:bookmarkEnd w:id="30"/>
    </w:p>
    <w:p>
      <w:pPr>
        <w:ind w:firstLine="482" w:firstLineChars="200"/>
        <w:outlineLvl w:val="1"/>
        <w:rPr>
          <w:rFonts w:ascii="楷体" w:hAnsi="楷体" w:eastAsia="楷体"/>
          <w:b/>
          <w:sz w:val="24"/>
          <w:szCs w:val="24"/>
        </w:rPr>
      </w:pPr>
      <w:bookmarkStart w:id="31" w:name="_Toc12827"/>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国内外主产区降水减少 天胶供应上量预期强</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成本端，从泰国主要产区的最新报价来看，目前各品类胶价假期整体出现较大回落，胶水价格回落尤为明显。伴随后续天气好转，降水减少，原料价格支撑或继续松动。库存方面，本周青岛港口小幅累库。下游需求方面，近期全钢胎开工恢复较好同时成品库存持续降库，或因双十一电商节到来下长途物流运输需求好转；半钢轮胎维持产销高景气。整体看，尽管四季度橡胶在基本面供小于求的支撑下以偏多头思路看待，但仍需持续关注东南亚主产区短期降水问题有出现缓和迹象，九月以来轮胎出口数据出现较大下滑，谨防主力下游半钢胎需求走弱，短期不排除原料价格回落、制约胶价表现。</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2" w:name="_Toc17004"/>
      <w:r>
        <w:rPr>
          <w:rFonts w:hint="eastAsia" w:ascii="Times New Roman" w:hAnsi="Times New Roman" w:eastAsia="楷体"/>
          <w:b/>
          <w:color w:val="000000" w:themeColor="text1"/>
          <w:sz w:val="24"/>
          <w:szCs w:val="24"/>
          <w14:textFill>
            <w14:solidFill>
              <w14:schemeClr w14:val="tx1"/>
            </w14:solidFill>
          </w14:textFill>
        </w:rPr>
        <w:t>聚烯烃：供需面无明显亮点，聚烯烃随原油波动为主</w:t>
      </w:r>
      <w:bookmarkEnd w:id="32"/>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欧佩克秘书处发消息宣称已经决定将八国自愿减产延续一个月至12月底然后再逐步取消，国际油价连续第四天上涨，WTI再次突破每桶70美元，聚烯烃成本支撑有所好转，盘面震荡表现。PE开工率降低至偏低水平，PP开工率回升，其中PDH制PP开工率仍处于中下水平。预计未来开工率将回升。PE进口窗口打开，内外盘供应均有增量预期。当前处于聚烯烃旺季需求尾声，旺季需求复苏的预期基本落空。在下游利润及订单的制约下，需求端对价格正反馈有限。短期预计聚烯烃区间整理。</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3" w:name="_Toc32410"/>
      <w:r>
        <w:rPr>
          <w:rFonts w:hint="eastAsia" w:ascii="Times New Roman" w:hAnsi="Times New Roman" w:eastAsia="楷体"/>
          <w:b/>
          <w:color w:val="000000" w:themeColor="text1"/>
          <w:sz w:val="24"/>
          <w:szCs w:val="24"/>
          <w14:textFill>
            <w14:solidFill>
              <w14:schemeClr w14:val="tx1"/>
            </w14:solidFill>
          </w14:textFill>
        </w:rPr>
        <w:t>原油：飓风Francine助力，原油期货强势反弹</w:t>
      </w:r>
      <w:bookmarkEnd w:id="33"/>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WTI原油主力合约强劲反弹大涨2.67%，收报69.18美元/桶；布伦特原油主力合约大涨2.02%，报72.15美元/桶；中国原油期货SC主力合约夜盘大涨2.31%，报514.5元/桶。</w:t>
      </w:r>
    </w:p>
    <w:p>
      <w:pPr>
        <w:ind w:left="630" w:leftChars="300"/>
        <w:rPr>
          <w:rFonts w:hint="eastAsia" w:ascii="楷体" w:hAnsi="楷体" w:eastAsia="楷体"/>
          <w:sz w:val="24"/>
          <w:szCs w:val="24"/>
        </w:rPr>
      </w:pPr>
      <w:r>
        <w:rPr>
          <w:rFonts w:hint="eastAsia" w:ascii="楷体" w:hAnsi="楷体" w:eastAsia="楷体"/>
          <w:sz w:val="24"/>
          <w:szCs w:val="24"/>
        </w:rPr>
        <w:t>受飓风Francine影响，美国作为全球最大的原油消费国面临供应中断的风险，这促使原油期货价格出现强劲反弹。随着飓风登陆并向内陆推进，墨西哥湾地区首当其冲，美国国家飓风中心已发布预警，路易斯安那州和密西西比州也进入了紧急状态。根据美国安全与环境执法局的报告，飓风导致墨西哥湾大约42%的原油生产设施和53%的天然气设施暂停运作。</w:t>
      </w:r>
    </w:p>
    <w:p>
      <w:pPr>
        <w:ind w:left="630" w:leftChars="300"/>
        <w:rPr>
          <w:rFonts w:hint="eastAsia" w:ascii="楷体" w:hAnsi="楷体" w:eastAsia="楷体"/>
          <w:sz w:val="24"/>
          <w:szCs w:val="24"/>
        </w:rPr>
      </w:pPr>
      <w:r>
        <w:rPr>
          <w:rFonts w:hint="eastAsia" w:ascii="楷体" w:hAnsi="楷体" w:eastAsia="楷体"/>
          <w:sz w:val="24"/>
          <w:szCs w:val="24"/>
        </w:rPr>
        <w:t>然而，国际能源署（IEA）最新发布的月度报告揭示了一个不同的图景。报告指出，全球石油需求增长正在显著放缓，导致油价触及三年来的低点。2024年上半年全球石油消费量预计仅增加90.3万桶/日，远低于2023年同期的增长速度。此外，IEA还下调了2024年的全球石油需求增长预期，预计若欧佩克+继续按计划逐步恢复产量，2025年或将出现供应过剩的情况。</w:t>
      </w:r>
    </w:p>
    <w:p>
      <w:pPr>
        <w:ind w:left="630" w:leftChars="300"/>
        <w:rPr>
          <w:rFonts w:hint="eastAsia" w:ascii="楷体" w:hAnsi="楷体" w:eastAsia="楷体"/>
          <w:sz w:val="24"/>
          <w:szCs w:val="24"/>
        </w:rPr>
      </w:pPr>
      <w:r>
        <w:rPr>
          <w:rFonts w:hint="eastAsia" w:ascii="楷体" w:hAnsi="楷体" w:eastAsia="楷体"/>
          <w:sz w:val="24"/>
          <w:szCs w:val="24"/>
        </w:rPr>
        <w:t>技术面显示，原油价格经历了快速下跌后，市场出现了一定程度的超卖，因此引发了此次反弹。尽管此次反弹较为强劲，已经收复了本周的部分跌幅，但从中期角度来看，下跌趋势仍未改变。未来几日，市场参与者需持续关注飓风对供应的实际影响，以及IEA报告中提到的需求放缓是否会在短期内给油价带来进一步压力。WTI原油主力合约虽有所反弹但短期仍看淡，2023年低点63.64美元/桶为短期的强支撑；布伦特原油主力合约，68.20美元/桶为2023年低点为短期重要支撑；国内原油期货主力合约SC2410价格，2023年低点480.6元/吨为重要支撑。</w:t>
      </w:r>
    </w:p>
    <w:p>
      <w:pPr>
        <w:ind w:left="630" w:leftChars="300"/>
        <w:rPr>
          <w:rFonts w:hint="eastAsia" w:ascii="楷体" w:hAnsi="楷体" w:eastAsia="楷体"/>
          <w:sz w:val="24"/>
          <w:szCs w:val="24"/>
          <w:lang w:val="en-US" w:eastAsia="zh-CN"/>
        </w:rPr>
      </w:pPr>
    </w:p>
    <w:p>
      <w:pPr>
        <w:ind w:firstLine="482" w:firstLineChars="200"/>
        <w:outlineLvl w:val="1"/>
        <w:rPr>
          <w:rFonts w:ascii="楷体" w:hAnsi="楷体" w:eastAsia="楷体"/>
          <w:b/>
          <w:sz w:val="24"/>
          <w:szCs w:val="24"/>
        </w:rPr>
      </w:pPr>
      <w:bookmarkStart w:id="34" w:name="_Toc26782"/>
      <w:r>
        <w:rPr>
          <w:rFonts w:hint="eastAsia" w:ascii="Times New Roman" w:hAnsi="Times New Roman" w:eastAsia="楷体"/>
          <w:b/>
          <w:color w:val="000000" w:themeColor="text1"/>
          <w:sz w:val="24"/>
          <w:szCs w:val="24"/>
          <w14:textFill>
            <w14:solidFill>
              <w14:schemeClr w14:val="tx1"/>
            </w14:solidFill>
          </w14:textFill>
        </w:rPr>
        <w:t>燃料油及低硫燃料油：燃料油期货夜盘上扬，弱势格局待破局</w:t>
      </w:r>
      <w:bookmarkEnd w:id="34"/>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燃料油主力合约夜盘上涨1.89%，报2797元/吨；低硫燃料油主力合约夜盘上涨1.04%，报3899元/吨；价差为1102元/吨。</w:t>
      </w:r>
    </w:p>
    <w:p>
      <w:pPr>
        <w:ind w:left="630" w:leftChars="300"/>
        <w:rPr>
          <w:rFonts w:hint="eastAsia" w:ascii="楷体" w:hAnsi="楷体" w:eastAsia="楷体"/>
          <w:sz w:val="24"/>
          <w:szCs w:val="24"/>
        </w:rPr>
      </w:pPr>
      <w:r>
        <w:rPr>
          <w:rFonts w:hint="eastAsia" w:ascii="楷体" w:hAnsi="楷体" w:eastAsia="楷体"/>
          <w:sz w:val="24"/>
          <w:szCs w:val="24"/>
        </w:rPr>
        <w:t>近期，汽柴产销表现不佳，燃料油市场缺乏明确的利好消息，导致业者操作心态趋于观望，下游采购保持谨慎，刚需为主，炼厂出货因此受阻。预计今日市场交投将继续以弱盘整理为主。</w:t>
      </w:r>
    </w:p>
    <w:p>
      <w:pPr>
        <w:ind w:left="630" w:leftChars="300"/>
        <w:rPr>
          <w:rFonts w:hint="eastAsia" w:ascii="楷体" w:hAnsi="楷体" w:eastAsia="楷体"/>
          <w:sz w:val="24"/>
          <w:szCs w:val="24"/>
        </w:rPr>
      </w:pPr>
      <w:r>
        <w:rPr>
          <w:rFonts w:hint="eastAsia" w:ascii="楷体" w:hAnsi="楷体" w:eastAsia="楷体"/>
          <w:sz w:val="24"/>
          <w:szCs w:val="24"/>
        </w:rPr>
        <w:t>从产能利用情况来看，本周主营炼厂常减压产能利用率为77.48%，环比微降，同比跌幅达5.64%，显示出加工量仍未恢复至去年同期水平。</w:t>
      </w:r>
    </w:p>
    <w:p>
      <w:pPr>
        <w:ind w:left="630" w:leftChars="300"/>
        <w:rPr>
          <w:rFonts w:hint="eastAsia" w:ascii="楷体" w:hAnsi="楷体" w:eastAsia="楷体"/>
          <w:sz w:val="24"/>
          <w:szCs w:val="24"/>
        </w:rPr>
      </w:pPr>
      <w:r>
        <w:rPr>
          <w:rFonts w:hint="eastAsia" w:ascii="楷体" w:hAnsi="楷体" w:eastAsia="楷体"/>
          <w:sz w:val="24"/>
          <w:szCs w:val="24"/>
        </w:rPr>
        <w:t>亚洲燃料油现货市场方面，尽管低硫燃料油供应预期增加，但高硫燃料油库存充裕，对价格上行构成压力。新加坡现货市场上，高硫燃料油交易冷清，而超低硫燃料油则有一笔成交。此外，新加坡各类燃料油库存均出现下降，但整体仍处于相对高位。</w:t>
      </w:r>
    </w:p>
    <w:p>
      <w:pPr>
        <w:ind w:left="630" w:leftChars="300"/>
        <w:rPr>
          <w:rFonts w:hint="eastAsia" w:ascii="楷体" w:hAnsi="楷体" w:eastAsia="楷体"/>
          <w:sz w:val="24"/>
          <w:szCs w:val="24"/>
        </w:rPr>
      </w:pPr>
      <w:r>
        <w:rPr>
          <w:rFonts w:hint="eastAsia" w:ascii="楷体" w:hAnsi="楷体" w:eastAsia="楷体"/>
          <w:sz w:val="24"/>
          <w:szCs w:val="24"/>
        </w:rPr>
        <w:t>燃料油期货价格整体上跟随了原油价格的反弹趋势，但由于原油价格仍处于中期下跌趋势之中，燃料油期货价格预计难以摆脱弱势格局。市场参与者需密切关注原油价格动向及其对燃料油市场的影响。</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5" w:name="_Toc23832"/>
      <w:r>
        <w:rPr>
          <w:rFonts w:hint="eastAsia" w:ascii="Times New Roman" w:hAnsi="Times New Roman" w:eastAsia="楷体"/>
          <w:b/>
          <w:color w:val="000000" w:themeColor="text1"/>
          <w:sz w:val="24"/>
          <w:szCs w:val="24"/>
          <w14:textFill>
            <w14:solidFill>
              <w14:schemeClr w14:val="tx1"/>
            </w14:solidFill>
          </w14:textFill>
        </w:rPr>
        <w:t>沥青：沥青期货价格上扬，弱稳格局待突破</w:t>
      </w:r>
      <w:bookmarkEnd w:id="35"/>
      <w:r>
        <w:rPr>
          <w:rFonts w:hint="eastAsia" w:ascii="Times New Roman" w:hAnsi="Times New Roman" w:eastAsia="楷体"/>
          <w:b/>
          <w:color w:val="000000" w:themeColor="text1"/>
          <w:sz w:val="24"/>
          <w:szCs w:val="24"/>
          <w14:textFill>
            <w14:solidFill>
              <w14:schemeClr w14:val="tx1"/>
            </w14:solidFill>
          </w14:textFill>
        </w:rPr>
        <w:t xml:space="preserve"> </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沥青期货主力合约BU2410上涨1.87%，收3111元/吨。</w:t>
      </w:r>
    </w:p>
    <w:p>
      <w:pPr>
        <w:ind w:left="630" w:leftChars="300"/>
        <w:rPr>
          <w:rFonts w:hint="eastAsia" w:ascii="楷体" w:hAnsi="楷体" w:eastAsia="楷体"/>
          <w:sz w:val="24"/>
          <w:szCs w:val="24"/>
        </w:rPr>
      </w:pPr>
      <w:r>
        <w:rPr>
          <w:rFonts w:hint="eastAsia" w:ascii="楷体" w:hAnsi="楷体" w:eastAsia="楷体"/>
          <w:sz w:val="24"/>
          <w:szCs w:val="24"/>
        </w:rPr>
        <w:t>当前，国内沥青市场呈现出弱稳运行的态势，均价为3634元/吨，较前一日微降2元/吨。本周，沥青产量出现显著下滑，周度总产量环比下降6.8%，同比降幅更是高达46.2%。这一趋势在1-9月份的累计产量中也得到了体现，同比减少近20.6%。</w:t>
      </w:r>
    </w:p>
    <w:p>
      <w:pPr>
        <w:ind w:left="630" w:leftChars="300"/>
        <w:rPr>
          <w:rFonts w:hint="eastAsia" w:ascii="楷体" w:hAnsi="楷体" w:eastAsia="楷体"/>
          <w:sz w:val="24"/>
          <w:szCs w:val="24"/>
        </w:rPr>
      </w:pPr>
      <w:r>
        <w:rPr>
          <w:rFonts w:hint="eastAsia" w:ascii="楷体" w:hAnsi="楷体" w:eastAsia="楷体"/>
          <w:sz w:val="24"/>
          <w:szCs w:val="24"/>
        </w:rPr>
        <w:t>库存方面，截至9月12日，国内沥青社会库存和厂库库存均呈现去库态势。社会库存较周一减少2.9%，其中华东地区去库明显，主要得益于业者优先消耗社会库存以及出口船发的良好表现。厂库库存则减少3.0%，山东地区去库尤为突出，这主要归因于个别主力炼厂的检修导致供应低位，以及出货以厂库库存为主。</w:t>
      </w:r>
    </w:p>
    <w:p>
      <w:pPr>
        <w:ind w:left="630" w:leftChars="300"/>
        <w:rPr>
          <w:rFonts w:hint="eastAsia" w:ascii="楷体" w:hAnsi="楷体" w:eastAsia="楷体"/>
          <w:sz w:val="24"/>
          <w:szCs w:val="24"/>
        </w:rPr>
      </w:pPr>
      <w:r>
        <w:rPr>
          <w:rFonts w:hint="eastAsia" w:ascii="楷体" w:hAnsi="楷体" w:eastAsia="楷体"/>
          <w:sz w:val="24"/>
          <w:szCs w:val="24"/>
        </w:rPr>
        <w:t>在供需差方面，本周沥青供需差环比大幅增加43.3%，但整体仍处于负值状态。成本端坍塌加剧了业者的看跌情绪，贸易商因此提升了主动去库的意愿，导致价格承压下行。</w:t>
      </w:r>
    </w:p>
    <w:p>
      <w:pPr>
        <w:ind w:left="630" w:leftChars="300"/>
        <w:rPr>
          <w:rFonts w:hint="eastAsia" w:ascii="楷体" w:hAnsi="楷体" w:eastAsia="楷体"/>
          <w:sz w:val="24"/>
          <w:szCs w:val="24"/>
        </w:rPr>
      </w:pPr>
      <w:r>
        <w:rPr>
          <w:rFonts w:hint="eastAsia" w:ascii="楷体" w:hAnsi="楷体" w:eastAsia="楷体"/>
          <w:sz w:val="24"/>
          <w:szCs w:val="24"/>
        </w:rPr>
        <w:t>综上所述，沥青期货市场在当前弱稳运行的态势下，受到产量下滑、库存去库以及供需差和成本端等多重因素的影响。未来，投资者需密切关注这些因素的变化，以制定合理的投资策略。</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6" w:name="_Toc32135"/>
      <w:r>
        <w:rPr>
          <w:rFonts w:hint="eastAsia" w:ascii="Times New Roman" w:hAnsi="Times New Roman" w:eastAsia="楷体"/>
          <w:b/>
          <w:color w:val="000000" w:themeColor="text1"/>
          <w:sz w:val="24"/>
          <w:szCs w:val="24"/>
          <w14:textFill>
            <w14:solidFill>
              <w14:schemeClr w14:val="tx1"/>
            </w14:solidFill>
          </w14:textFill>
        </w:rPr>
        <w:t>PTA：跟随宏观及成本端波动</w:t>
      </w:r>
      <w:bookmarkEnd w:id="36"/>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原油方面，OPEC+推迟增产减缓原油市场过剩压力，且地缘恐慌情绪再度升温，原油延续反弹势头。PX 近期开工率有所下滑，当前宽松的现货供应格局下，PX弱势难改。本周恒力惠州250万吨恢复正常，独山能源250万吨检修，至11.1 PTA负荷在80.4%。本周聚酯装置大体平稳为主，初步核算国内大陆地区聚酯负荷在92.9%附近。天气转冷下游开工小幅提升。聚酯公布的装置检修计划不多，11月月均开工维持在9成以上。综合来看，近期随着成本端大幅下行，PTA动态加工费回升至365元/吨中性，11、12月装置检修较少，供需双增下PTA2501合约运行区间为4850-5200，供参考。</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7" w:name="_Toc8788"/>
      <w:r>
        <w:rPr>
          <w:rFonts w:hint="eastAsia" w:ascii="Times New Roman" w:hAnsi="Times New Roman" w:eastAsia="楷体"/>
          <w:b/>
          <w:color w:val="000000" w:themeColor="text1"/>
          <w:sz w:val="24"/>
          <w:szCs w:val="24"/>
          <w14:textFill>
            <w14:solidFill>
              <w14:schemeClr w14:val="tx1"/>
            </w14:solidFill>
          </w14:textFill>
        </w:rPr>
        <w:t>乙二醇：开工下滑及下游改善 震荡偏强</w:t>
      </w:r>
      <w:bookmarkEnd w:id="37"/>
      <w:r>
        <w:rPr>
          <w:rFonts w:hint="eastAsia" w:ascii="Times New Roman" w:hAnsi="Times New Roman" w:eastAsia="楷体"/>
          <w:b/>
          <w:color w:val="000000" w:themeColor="text1"/>
          <w:sz w:val="24"/>
          <w:szCs w:val="24"/>
          <w14:textFill>
            <w14:solidFill>
              <w14:schemeClr w14:val="tx1"/>
            </w14:solidFill>
          </w14:textFill>
        </w:rPr>
        <w:t xml:space="preserve"> </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sz w:val="24"/>
          <w:szCs w:val="24"/>
        </w:rPr>
        <w:t>供需情况，据CCF 11.4 华东主港地区MEG港口库存约57.1万吨附近，环比上周-7.5万吨。截至11月1日，中国大陆地区乙二醇整体开工负荷在67.24%（-0.05%），其中草酸催化加氢法（合成气）制乙二醇开工负荷在62.38%（-1.47%）。下游聚酯开工情况来看，聚酯端负荷整体保持良好，截至11.1 初步核算国内大陆地区聚酯负荷在92.9%附近，尤其是长丝负荷持续较高。聚酯端库存来看，长丝促销效果显著，整体库存节前维持去化。终端开工情况来看，截止11.1 江浙下游加弹、织造、印染负荷分别在93%、82%、86%，整体开工高位维持，坯布库存继续去化，整体织造端出货氛围尚可。综合来看，近期乙二醇国产煤化工装置检修增多，开工下滑叠加需求韧性，预估11供需结构改为偏平衡，短期震荡偏强。</w:t>
      </w: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8" w:name="_Toc25227"/>
      <w:r>
        <w:rPr>
          <w:rFonts w:hint="eastAsia" w:ascii="Times New Roman" w:hAnsi="Times New Roman" w:eastAsia="楷体"/>
          <w:b/>
          <w:color w:val="823C0B"/>
          <w:sz w:val="30"/>
          <w:szCs w:val="30"/>
        </w:rPr>
        <w:t>[农产品]</w:t>
      </w:r>
      <w:bookmarkEnd w:id="14"/>
      <w:bookmarkEnd w:id="38"/>
    </w:p>
    <w:p>
      <w:pPr>
        <w:pStyle w:val="93"/>
        <w:spacing w:before="60" w:beforeAutospacing="0" w:after="60" w:afterAutospacing="0"/>
        <w:ind w:left="420" w:leftChars="200"/>
        <w:outlineLvl w:val="1"/>
        <w:rPr>
          <w:rFonts w:hint="eastAsia" w:ascii="楷体" w:hAnsi="楷体" w:eastAsia="楷体"/>
          <w:b/>
        </w:rPr>
      </w:pPr>
      <w:bookmarkStart w:id="39" w:name="_Toc4927"/>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期价出现较大幅度回落</w:t>
      </w:r>
      <w:bookmarkEnd w:id="39"/>
    </w:p>
    <w:p>
      <w:pPr>
        <w:pStyle w:val="93"/>
        <w:spacing w:before="60" w:beforeAutospacing="0" w:after="60" w:afterAutospacing="0"/>
        <w:ind w:left="630" w:leftChars="300"/>
        <w:rPr>
          <w:rFonts w:hint="eastAsia" w:ascii="楷体" w:hAnsi="楷体" w:eastAsia="楷体"/>
        </w:rPr>
      </w:pPr>
      <w:r>
        <w:rPr>
          <w:rFonts w:hint="eastAsia" w:ascii="楷体" w:hAnsi="楷体" w:eastAsia="楷体"/>
        </w:rPr>
        <w:t>玉米现货表现分化，华北与东北产区稳中多有上涨，南北方港口则稳中有小幅下跌，期价延续弱势，近月相对弱于远月。对于玉米而言 ，当下市场最大担忧是新作集中上市背景下市场补库对应期现货上涨的持续性，但在我们看来，期价远月升水结构反映市场对当前年度相对乐观的供需预期， 东北产区带动南北方港口现货持续稳中有涨， 表明新作压力最大对应现货价格低点已经出现，接下来在诸如国家增储、小麦上涨及其南方港口内外贸玉米库存 偏低等潜在利 多因素的带动下甚至可能进入补库存阶段，期现货价格有望逐步震荡上行。在这种情况下，我们维持谨慎看多观点，建议投资者持有前期多单。</w:t>
      </w:r>
    </w:p>
    <w:p>
      <w:pPr>
        <w:pStyle w:val="93"/>
        <w:spacing w:before="60" w:beforeAutospacing="0" w:after="60" w:afterAutospacing="0"/>
        <w:ind w:left="630" w:leftChars="300"/>
        <w:rPr>
          <w:rFonts w:hint="eastAsia" w:ascii="楷体" w:hAnsi="楷体" w:eastAsia="楷体"/>
          <w:lang w:val="en-US" w:eastAsia="zh-CN"/>
        </w:rPr>
      </w:pPr>
      <w:r>
        <w:rPr>
          <w:rFonts w:hint="eastAsia" w:ascii="楷体" w:hAnsi="楷体" w:eastAsia="楷体"/>
        </w:rPr>
        <w:t>淀粉现货稳中偏弱，局部地区报价下调10-30元不等，期价整体回落，且相对弱于玉米，淀粉-玉米价差小幅收窄。对于淀粉而言， 近期 淀粉 玉米价差变动不大，主要源于行业供需和原料成本短期偏空，其中行业供需端因行业库存在前期持续下滑之后出现回升，而原料成本端由于近期华北玉米持续回落，导致华北 东北玉米价差收窄。但由于副产品维持低位，而淀粉基差高企，且盘面加工利润为负，我们倾向于淀粉 玉米价差收窄空间受限。在这种情况下，结合原料玉米判断，我们维持谨慎看多观点，建议单边投资者持有多单，套利投资者继续持有淀粉-玉米价差走扩套利。</w:t>
      </w:r>
    </w:p>
    <w:p>
      <w:pPr>
        <w:pStyle w:val="93"/>
        <w:spacing w:before="60" w:beforeAutospacing="0" w:after="60" w:afterAutospacing="0"/>
        <w:ind w:left="630" w:leftChars="300"/>
        <w:rPr>
          <w:rFonts w:hint="eastAsia" w:ascii="楷体" w:hAnsi="楷体" w:eastAsia="楷体"/>
          <w:lang w:val="en-US" w:eastAsia="zh-CN"/>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0" w:name="_Toc30092"/>
      <w:r>
        <w:rPr>
          <w:rFonts w:hint="eastAsia" w:ascii="楷体" w:hAnsi="楷体" w:eastAsia="楷体"/>
          <w:b/>
          <w:bCs/>
          <w:color w:val="000000" w:themeColor="text1"/>
          <w14:textFill>
            <w14:solidFill>
              <w14:schemeClr w14:val="tx1"/>
            </w14:solidFill>
          </w14:textFill>
        </w:rPr>
        <w:t>畜禽养殖：鸡蛋期价大幅反弹</w:t>
      </w:r>
      <w:bookmarkEnd w:id="40"/>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国内生猪现货周末涨跌互现，整体偏弱，全国均价下跌0.11元至17.23元/公斤；期价整体震荡分化，近月小幅收涨，远月小幅收跌。对于生猪而言，从期价远期贴水结构可以看出，市场对生猪市场远期供需改善预期较为一致，这可以从若干方面得到印证，包括能繁母猪存栏见底回升，猪料产量环比增加，仔猪价格见顶回落等。随着期价的持续回落，市场分歧转向当前期价是否已经反映现货下跌预期，因目前最低的 3 月合约已经跌至过去两年春节前后低点 14 元 公斤的水平。从供应角度看，农业农村部公布的季度末生猪存栏量虽连续环比增加，但仍处于过去四年来最低水平，而今年 3 季度出栏仅次于去年，这意味着 4 季度供应环比增幅受限，这会抑制猪价下跌空间；而需求则存在较大的不确定性，受宏观经济影响，市场反映今年需求不及往年同期，这会抑制猪价上方空间。考虑到气温的下降， 再 加上季节性因素，生猪需求或有所改善。由此可以看出，当前市场矛盾在于市场预期偏差，我们倾向于市场已经在很大程度上反映悲观预期，期价继续下跌空间或有限，但能否反弹首先需要关注现货价格走势，其次还需要关注饲料原料成本。在这种情况下，我们持谨慎看多观点。</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鸡蛋现货价格稳中有涨，其中主产区均价下跌0.03元至4.66元/斤，主销区均价持平在4.87元/斤；期价整体强势，近月表现显著强于远月。对于鸡蛋而言，分析市场可以看出，当前市场纠结之处在于，一方面市场对远期供需宽松预期使得市场担心后期现货下跌，而这已经体现在远月期价深度贴水上，另一方面现货相对抗跌，且基差处于历史高位，这对期价特别是近月带来一定的支撑。考虑到现货已进入季节性淡季，市场关注焦点将转向远月，这里面需要重点关注两个方面，其一是原料成本的变数，虽然当前饲料原料包括豆粕和玉米价格均处于相对低位，对应的养殖利润高企，但在新作压力之后其走势存在较大的不确定性。其二是供需预期的变数，因市场多倾向于认为今年年后以来现货整体表现强于预期，主要源于需求端的影响，而我们则倾向于认为更多源于供应端的因素，这可能源于春节前后补栏积极性下降而淘汰积极性上升，因当时蛋鸡苗价格处于历史低位，而多家机构数据均显示去年底以来蛋鸡淘汰量同比大幅增加。在这种情况下，我们维持谨慎看多观点，建议谨慎投资者观望，激进投资者可考虑持有近月合约多单。</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1" w:name="_Toc22552"/>
      <w:r>
        <w:rPr>
          <w:rFonts w:hint="eastAsia" w:ascii="楷体" w:hAnsi="楷体" w:eastAsia="楷体"/>
          <w:b/>
          <w:bCs/>
          <w:color w:val="000000" w:themeColor="text1"/>
          <w14:textFill>
            <w14:solidFill>
              <w14:schemeClr w14:val="tx1"/>
            </w14:solidFill>
          </w14:textFill>
        </w:rPr>
        <w:t>白糖：内外糖价高位区间宽幅震荡整理，短期向下突破可能性较大</w:t>
      </w:r>
      <w:bookmarkEnd w:id="41"/>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日外盘，国际糖价走弱，ICE原糖11号主力合约下跌0.77%，伦敦白砂糖主力合约下跌0.56%。夜盘郑糖2501主力合约下跌0.63%。据外电11月4日消息，根据阿根廷周一公布官方公告中的两项法令，该国提高了生物柴油和生物乙醇的国内价格，这或将促使更多的甘蔗被用于生产能源。国内，新糖逐渐上市，成本偏低，整体是丰产预期。预计短期高位区间偏弱震荡。</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2" w:name="_Toc8206"/>
      <w:r>
        <w:rPr>
          <w:rFonts w:hint="eastAsia" w:ascii="楷体" w:hAnsi="楷体" w:eastAsia="楷体"/>
          <w:b/>
          <w:bCs/>
          <w:color w:val="000000" w:themeColor="text1"/>
          <w14:textFill>
            <w14:solidFill>
              <w14:schemeClr w14:val="tx1"/>
            </w14:solidFill>
          </w14:textFill>
        </w:rPr>
        <w:t>棉花：预计郑棉区间震荡</w:t>
      </w:r>
      <w:bookmarkEnd w:id="42"/>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隔日外盘，ICE美棉主力下跌0.43%，未能守住70关口。夜盘郑棉2501主力合约下跌0.18%。美国农业部（ USDA ）在每周作物生长报告中公布称，截至2024年11月3日当周，美国棉花收割率为63%，前一周为52%，去年同期为55%，五年均值为54%。国内，本年度棉花丰产，产量预计同比增加5%-7%，供应充沛。籽棉收购价相对稳定，集中在6.1-6.4元/公斤区间。轧花厂依然持谨慎态度，风险偏好低。金九银十结束，纺织开机率略有下降，但整体依然处于近几年偏高水平。预计棉花区间震荡。</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3" w:name="_Toc5519"/>
      <w:r>
        <w:rPr>
          <w:rFonts w:hint="eastAsia" w:ascii="楷体" w:hAnsi="楷体" w:eastAsia="楷体"/>
          <w:b/>
          <w:bCs/>
          <w:color w:val="000000" w:themeColor="text1"/>
          <w14:textFill>
            <w14:solidFill>
              <w14:schemeClr w14:val="tx1"/>
            </w14:solidFill>
          </w14:textFill>
        </w:rPr>
        <w:t>苹果：区间震荡，消化前期涨幅</w:t>
      </w:r>
      <w:bookmarkEnd w:id="43"/>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本年度新果上市，收购价较往年同期低1元/公斤左右。由于价格合理，且去年囤货商损失惨重，本年度上市初期鲜果低价销售极为顺畅，入库量同比大减。近日现货价格略有上涨，各地涨幅0.2元-0.4元/公斤不等。11月4日时栖霞苹果一、二级纸袋80#的市场价为3.5元/斤，蓬莱区的则为3.7元/斤。由于前期苹果已低位区间震荡近4个月，现货带动期价上行突破后迅速吸引大量资金涌入。但本年度苹果丰产，产量同比增加，质量水平亦可，与往年大减产的牛市情况略有区别。短期内涨幅过大，震荡或者小幅回落以消化前期涨幅，等待回落后低多机会。</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4" w:name="_Toc14416"/>
      <w:r>
        <w:rPr>
          <w:rFonts w:hint="eastAsia" w:ascii="楷体" w:hAnsi="楷体" w:eastAsia="楷体"/>
          <w:b/>
          <w:bCs/>
          <w:color w:val="000000" w:themeColor="text1"/>
          <w14:textFill>
            <w14:solidFill>
              <w14:schemeClr w14:val="tx1"/>
            </w14:solidFill>
          </w14:textFill>
        </w:rPr>
        <w:t>蛋白粕：短期供应端压力略减，但偏弱运行不改</w:t>
      </w:r>
      <w:bookmarkEnd w:id="4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外盘美豆上涨0.35%，国内夜盘豆二上涨0.32%，豆粕上涨0.03%；菜籽下跌0.24%，菜粕下跌0.38%。美豆收割率预计达95%，为2005年来最快进程。国内市场方面，华北地区陆续有工厂公布减产或者限量开单的消息，削弱了目前豆粕库存偏高带来的供应压力。需求方面，上周豆粕成交较好，现货日成交均量在20万吨左右，但未见大幅增长的情况，库存去化缓慢。同时市场预计11月和12月大豆到港量均在800万吨以上，油厂催提压力也较难缓解。总体而言，粕类偏弱运行态势难以改变。</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5" w:name="_Toc17393"/>
      <w:r>
        <w:rPr>
          <w:rFonts w:hint="eastAsia" w:ascii="楷体" w:hAnsi="楷体" w:eastAsia="楷体"/>
          <w:b/>
          <w:bCs/>
          <w:color w:val="000000" w:themeColor="text1"/>
          <w14:textFill>
            <w14:solidFill>
              <w14:schemeClr w14:val="tx1"/>
            </w14:solidFill>
          </w14:textFill>
        </w:rPr>
        <w:t>油脂类：马棕产量环比减少，供应偏紧支撑期价</w:t>
      </w:r>
      <w:bookmarkEnd w:id="4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夜盘豆油收盘不变，菜油下跌1.53%，棕榈油上涨0.23%。11月4日SPPOMA公布马棕油10月产量环比下降7.30%，油棕鲜果串单产下滑7.54%，出油率增加0.05%。国内棕油库存同比下跌48.04%。棕油基本面较强，强势突破9700。豆油供给端当前大豆进口压力最大时期逐渐走出，大豆和豆粕的库存压力预计随着压榨短期继续高企而释放。因此豆油供给端短期依旧维持较强预期。菜油因前期进口菜籽当前大量到港，近端在供给冲击下表现相对偏弱。棕榈油因利润倒挂，到港大幅减少，库存持续消耗。</w:t>
      </w:r>
    </w:p>
    <w:p>
      <w:pPr>
        <w:pStyle w:val="93"/>
        <w:spacing w:before="0" w:beforeAutospacing="0" w:after="60" w:afterAutospacing="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46" w:name="_Toc3151"/>
      <w:r>
        <w:rPr>
          <w:rFonts w:hint="eastAsia" w:ascii="Times New Roman" w:hAnsi="Times New Roman" w:eastAsia="楷体"/>
          <w:b/>
          <w:color w:val="823C0B"/>
          <w:sz w:val="30"/>
          <w:szCs w:val="30"/>
        </w:rPr>
        <w:t>[指数]</w:t>
      </w:r>
      <w:bookmarkEnd w:id="46"/>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7" w:name="_Toc23713"/>
      <w:r>
        <w:rPr>
          <w:rFonts w:hint="eastAsia" w:ascii="Times New Roman" w:hAnsi="Times New Roman" w:eastAsia="楷体"/>
          <w:b/>
          <w:color w:val="000000" w:themeColor="text1"/>
          <w:sz w:val="24"/>
          <w:szCs w:val="24"/>
          <w14:textFill>
            <w14:solidFill>
              <w14:schemeClr w14:val="tx1"/>
            </w14:solidFill>
          </w14:textFill>
        </w:rPr>
        <w:t>集运指数（欧线）：运价略微回落，期价小幅下跌</w:t>
      </w:r>
      <w:bookmarkEnd w:id="47"/>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02合约跌2.41%至2794.1。当前40GP运价略微回落至约4000美元，订舱需求小幅偏弱。11月1日，上海航运交易所发布的上海出口集装箱综合运价指数为2303.44点，较上期上涨5.4%。11月1日，上海港出口至欧洲基本港市场运价（海运及海运附加费）为2442美元/TEU，较上期上涨9.7%。11月1日，上海港出口至地中海基本港市场运价（海运及海运附加费）为2907美元/TEU，较上期上涨13.8%。马士基撤回前期欧线提涨，后续船司或仍进一步宣涨12月运价，关注后续实际落地情况。多空博弈期间留意短期波动加剧风险，上方面临近期前高压力，期价或宽幅震荡，建议投资者谨慎操作。</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8" w:name="_Toc72481108"/>
      <w:bookmarkStart w:id="49" w:name="_Toc19667"/>
      <w:bookmarkStart w:id="50" w:name="_Toc71212556"/>
      <w:bookmarkStart w:id="51" w:name="_Toc12779"/>
      <w:bookmarkStart w:id="52" w:name="_Toc98426751"/>
      <w:r>
        <w:rPr>
          <w:rFonts w:ascii="Times New Roman" w:hAnsi="Times New Roman" w:eastAsia="楷体"/>
          <w:b/>
          <w:color w:val="411D05"/>
          <w:sz w:val="30"/>
          <w:szCs w:val="30"/>
        </w:rPr>
        <w:t>免责声明</w:t>
      </w:r>
      <w:bookmarkEnd w:id="48"/>
      <w:bookmarkEnd w:id="49"/>
      <w:bookmarkEnd w:id="50"/>
      <w:bookmarkEnd w:id="51"/>
      <w:bookmarkEnd w:id="52"/>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rPr>
                <w:rFonts w:ascii="Times New Roman" w:hAnsi="Times New Roman" w:eastAsia="楷体" w:cs="Times New Roman"/>
                <w:color w:val="823C0B"/>
                <w:sz w:val="22"/>
              </w:rPr>
            </w:pP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2024年11月5日星期二</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5EB"/>
    <w:rsid w:val="00CB2FD2"/>
    <w:rsid w:val="00CB3015"/>
    <w:rsid w:val="00CB60E6"/>
    <w:rsid w:val="00CB657C"/>
    <w:rsid w:val="00CC03C4"/>
    <w:rsid w:val="00CC3E40"/>
    <w:rsid w:val="00CC3FFA"/>
    <w:rsid w:val="00CC6C03"/>
    <w:rsid w:val="00CD17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137E06"/>
    <w:rsid w:val="01375C3E"/>
    <w:rsid w:val="01954D8D"/>
    <w:rsid w:val="02E32A5D"/>
    <w:rsid w:val="035D5749"/>
    <w:rsid w:val="03A507DC"/>
    <w:rsid w:val="04C17862"/>
    <w:rsid w:val="04E41B77"/>
    <w:rsid w:val="057D13AE"/>
    <w:rsid w:val="063B0EDD"/>
    <w:rsid w:val="064116B8"/>
    <w:rsid w:val="064A667C"/>
    <w:rsid w:val="06B2613D"/>
    <w:rsid w:val="06B753E3"/>
    <w:rsid w:val="07321D04"/>
    <w:rsid w:val="08A51999"/>
    <w:rsid w:val="090041E8"/>
    <w:rsid w:val="09B849A4"/>
    <w:rsid w:val="09F160E3"/>
    <w:rsid w:val="0A9E0927"/>
    <w:rsid w:val="0AC64130"/>
    <w:rsid w:val="0B42525D"/>
    <w:rsid w:val="0BF11AD7"/>
    <w:rsid w:val="0C1F7DEE"/>
    <w:rsid w:val="0C88769D"/>
    <w:rsid w:val="0CDE660D"/>
    <w:rsid w:val="0D032A7C"/>
    <w:rsid w:val="0DB77106"/>
    <w:rsid w:val="0DCE2D64"/>
    <w:rsid w:val="0E20128F"/>
    <w:rsid w:val="0E955A36"/>
    <w:rsid w:val="0F662138"/>
    <w:rsid w:val="0F9B0CE9"/>
    <w:rsid w:val="0FF35275"/>
    <w:rsid w:val="100732C8"/>
    <w:rsid w:val="10DA6205"/>
    <w:rsid w:val="10E86139"/>
    <w:rsid w:val="111441F0"/>
    <w:rsid w:val="113D3FD2"/>
    <w:rsid w:val="121F7D21"/>
    <w:rsid w:val="129B2E20"/>
    <w:rsid w:val="12AA5DF8"/>
    <w:rsid w:val="12C54559"/>
    <w:rsid w:val="12CB3DD7"/>
    <w:rsid w:val="132A04C1"/>
    <w:rsid w:val="1330029C"/>
    <w:rsid w:val="134E6356"/>
    <w:rsid w:val="13AE24B4"/>
    <w:rsid w:val="14D51A3C"/>
    <w:rsid w:val="15364A7C"/>
    <w:rsid w:val="15602ADB"/>
    <w:rsid w:val="15947E4C"/>
    <w:rsid w:val="15D52593"/>
    <w:rsid w:val="1626611D"/>
    <w:rsid w:val="16E2497F"/>
    <w:rsid w:val="17A736B0"/>
    <w:rsid w:val="18A2004D"/>
    <w:rsid w:val="19415809"/>
    <w:rsid w:val="197E6634"/>
    <w:rsid w:val="1B7329E7"/>
    <w:rsid w:val="1B8A2034"/>
    <w:rsid w:val="1BB46C31"/>
    <w:rsid w:val="1BC72FF7"/>
    <w:rsid w:val="1C161355"/>
    <w:rsid w:val="1CFF262F"/>
    <w:rsid w:val="1D03226A"/>
    <w:rsid w:val="1D5030CD"/>
    <w:rsid w:val="1D876087"/>
    <w:rsid w:val="1DFF64E4"/>
    <w:rsid w:val="1E313D4A"/>
    <w:rsid w:val="1ECB51CD"/>
    <w:rsid w:val="1F515CF1"/>
    <w:rsid w:val="1FBD6B68"/>
    <w:rsid w:val="1FDC1B35"/>
    <w:rsid w:val="1FDD0CDB"/>
    <w:rsid w:val="2056595D"/>
    <w:rsid w:val="207554B7"/>
    <w:rsid w:val="20AE4DE8"/>
    <w:rsid w:val="21194658"/>
    <w:rsid w:val="216834DE"/>
    <w:rsid w:val="21996AC1"/>
    <w:rsid w:val="219F3EE2"/>
    <w:rsid w:val="21F57098"/>
    <w:rsid w:val="22BA3902"/>
    <w:rsid w:val="22BB5089"/>
    <w:rsid w:val="22EF0361"/>
    <w:rsid w:val="233407F6"/>
    <w:rsid w:val="23D146B7"/>
    <w:rsid w:val="240817CF"/>
    <w:rsid w:val="24321B2E"/>
    <w:rsid w:val="244B21DE"/>
    <w:rsid w:val="245C7DFE"/>
    <w:rsid w:val="247F3074"/>
    <w:rsid w:val="24B82D9D"/>
    <w:rsid w:val="251328EC"/>
    <w:rsid w:val="254016F5"/>
    <w:rsid w:val="258A2E5C"/>
    <w:rsid w:val="25B924F3"/>
    <w:rsid w:val="25E06B30"/>
    <w:rsid w:val="268419CF"/>
    <w:rsid w:val="26AC2D80"/>
    <w:rsid w:val="26F95364"/>
    <w:rsid w:val="2916719E"/>
    <w:rsid w:val="293961B5"/>
    <w:rsid w:val="29A303B9"/>
    <w:rsid w:val="2B9C319C"/>
    <w:rsid w:val="2C1D776C"/>
    <w:rsid w:val="2C453820"/>
    <w:rsid w:val="2C527F9F"/>
    <w:rsid w:val="2C6C12B9"/>
    <w:rsid w:val="2CA93C52"/>
    <w:rsid w:val="2D912E3A"/>
    <w:rsid w:val="2DC02C2B"/>
    <w:rsid w:val="2DE440F7"/>
    <w:rsid w:val="2E6F25DB"/>
    <w:rsid w:val="2E805E2F"/>
    <w:rsid w:val="2F412AB7"/>
    <w:rsid w:val="2FA14A50"/>
    <w:rsid w:val="2FA70F17"/>
    <w:rsid w:val="30CB447B"/>
    <w:rsid w:val="3115573F"/>
    <w:rsid w:val="32951C0D"/>
    <w:rsid w:val="32F131F1"/>
    <w:rsid w:val="33CE5AF4"/>
    <w:rsid w:val="33D72F2D"/>
    <w:rsid w:val="340E7198"/>
    <w:rsid w:val="34A75784"/>
    <w:rsid w:val="3581551C"/>
    <w:rsid w:val="35947F79"/>
    <w:rsid w:val="35D65FDD"/>
    <w:rsid w:val="36C14F46"/>
    <w:rsid w:val="36C44D71"/>
    <w:rsid w:val="373F75CC"/>
    <w:rsid w:val="37C101D4"/>
    <w:rsid w:val="38F320AA"/>
    <w:rsid w:val="38FB27F3"/>
    <w:rsid w:val="39584559"/>
    <w:rsid w:val="399D40A5"/>
    <w:rsid w:val="39E5435C"/>
    <w:rsid w:val="3A2F6D68"/>
    <w:rsid w:val="3AC9385E"/>
    <w:rsid w:val="3B3306F0"/>
    <w:rsid w:val="3B563B4D"/>
    <w:rsid w:val="3C2825B0"/>
    <w:rsid w:val="3C2B26B7"/>
    <w:rsid w:val="3C881F02"/>
    <w:rsid w:val="3CB420C3"/>
    <w:rsid w:val="3D8B796D"/>
    <w:rsid w:val="3DA80A30"/>
    <w:rsid w:val="3E643221"/>
    <w:rsid w:val="3EA032CC"/>
    <w:rsid w:val="3EC32453"/>
    <w:rsid w:val="3ECC520D"/>
    <w:rsid w:val="3EE0186C"/>
    <w:rsid w:val="3EE43745"/>
    <w:rsid w:val="3EEE419C"/>
    <w:rsid w:val="3EFE09FD"/>
    <w:rsid w:val="3F032E01"/>
    <w:rsid w:val="3F2C758E"/>
    <w:rsid w:val="3F345DBE"/>
    <w:rsid w:val="40164730"/>
    <w:rsid w:val="40E44318"/>
    <w:rsid w:val="40F15753"/>
    <w:rsid w:val="41F950F8"/>
    <w:rsid w:val="428A4A5E"/>
    <w:rsid w:val="42EB3BA1"/>
    <w:rsid w:val="42F51780"/>
    <w:rsid w:val="43F11831"/>
    <w:rsid w:val="43F63E0D"/>
    <w:rsid w:val="44092E2E"/>
    <w:rsid w:val="441077D2"/>
    <w:rsid w:val="44396064"/>
    <w:rsid w:val="458C38B3"/>
    <w:rsid w:val="459609D9"/>
    <w:rsid w:val="45A37566"/>
    <w:rsid w:val="45B634E5"/>
    <w:rsid w:val="45CF0A85"/>
    <w:rsid w:val="45F224BA"/>
    <w:rsid w:val="46020C32"/>
    <w:rsid w:val="46194A11"/>
    <w:rsid w:val="461E2AF1"/>
    <w:rsid w:val="47752ACA"/>
    <w:rsid w:val="477D75D8"/>
    <w:rsid w:val="47A71483"/>
    <w:rsid w:val="47C813F2"/>
    <w:rsid w:val="48352178"/>
    <w:rsid w:val="489B63EF"/>
    <w:rsid w:val="48D7317F"/>
    <w:rsid w:val="4953255E"/>
    <w:rsid w:val="49BF13F0"/>
    <w:rsid w:val="49C623EE"/>
    <w:rsid w:val="49D75468"/>
    <w:rsid w:val="49E169F0"/>
    <w:rsid w:val="4A1F6F8D"/>
    <w:rsid w:val="4A4A74EF"/>
    <w:rsid w:val="4A5C7364"/>
    <w:rsid w:val="4A6F6249"/>
    <w:rsid w:val="4AA77B51"/>
    <w:rsid w:val="4AB74C38"/>
    <w:rsid w:val="4B14426D"/>
    <w:rsid w:val="4B3320ED"/>
    <w:rsid w:val="4B6224E5"/>
    <w:rsid w:val="4B8C4A56"/>
    <w:rsid w:val="4BAB6225"/>
    <w:rsid w:val="4BF97936"/>
    <w:rsid w:val="4C2C4D07"/>
    <w:rsid w:val="4C457E30"/>
    <w:rsid w:val="4CAC2FB1"/>
    <w:rsid w:val="4D2A3925"/>
    <w:rsid w:val="4D597189"/>
    <w:rsid w:val="4DB20386"/>
    <w:rsid w:val="4DF02D90"/>
    <w:rsid w:val="4E665CB5"/>
    <w:rsid w:val="4EB84B21"/>
    <w:rsid w:val="4F271764"/>
    <w:rsid w:val="4F7D0512"/>
    <w:rsid w:val="4FAF4829"/>
    <w:rsid w:val="4FBA2B77"/>
    <w:rsid w:val="4FD46E6F"/>
    <w:rsid w:val="5005695E"/>
    <w:rsid w:val="50286811"/>
    <w:rsid w:val="50700F42"/>
    <w:rsid w:val="50B838CE"/>
    <w:rsid w:val="50ED1DE1"/>
    <w:rsid w:val="51266B84"/>
    <w:rsid w:val="51642661"/>
    <w:rsid w:val="5191036A"/>
    <w:rsid w:val="52465DB8"/>
    <w:rsid w:val="52940E89"/>
    <w:rsid w:val="529C26CA"/>
    <w:rsid w:val="538706F0"/>
    <w:rsid w:val="546B5509"/>
    <w:rsid w:val="548642E9"/>
    <w:rsid w:val="54A17941"/>
    <w:rsid w:val="54C12E33"/>
    <w:rsid w:val="55633225"/>
    <w:rsid w:val="556D6DC3"/>
    <w:rsid w:val="563B25E1"/>
    <w:rsid w:val="566A208A"/>
    <w:rsid w:val="56DD4D3A"/>
    <w:rsid w:val="57555A7B"/>
    <w:rsid w:val="5770382C"/>
    <w:rsid w:val="57846909"/>
    <w:rsid w:val="57A6753E"/>
    <w:rsid w:val="57CB522F"/>
    <w:rsid w:val="57F46FBE"/>
    <w:rsid w:val="58042686"/>
    <w:rsid w:val="58246D5D"/>
    <w:rsid w:val="58EC5960"/>
    <w:rsid w:val="58F05C44"/>
    <w:rsid w:val="58F400B4"/>
    <w:rsid w:val="59151C86"/>
    <w:rsid w:val="59732982"/>
    <w:rsid w:val="598F0769"/>
    <w:rsid w:val="59C52328"/>
    <w:rsid w:val="5AD37D8A"/>
    <w:rsid w:val="5AF87BF9"/>
    <w:rsid w:val="5B0F1B49"/>
    <w:rsid w:val="5B906095"/>
    <w:rsid w:val="5BC6560B"/>
    <w:rsid w:val="5BF60A75"/>
    <w:rsid w:val="5C813B75"/>
    <w:rsid w:val="5C9F2D01"/>
    <w:rsid w:val="5D3F3466"/>
    <w:rsid w:val="5D5617A6"/>
    <w:rsid w:val="5D716329"/>
    <w:rsid w:val="5EA23F15"/>
    <w:rsid w:val="5EA7685B"/>
    <w:rsid w:val="5ED40954"/>
    <w:rsid w:val="5EFA4E95"/>
    <w:rsid w:val="60BE22C5"/>
    <w:rsid w:val="612C30C5"/>
    <w:rsid w:val="619A2BBF"/>
    <w:rsid w:val="61DF02D0"/>
    <w:rsid w:val="61F12735"/>
    <w:rsid w:val="61FB37A1"/>
    <w:rsid w:val="62710E5F"/>
    <w:rsid w:val="62AD0966"/>
    <w:rsid w:val="63735B47"/>
    <w:rsid w:val="63FF1EA7"/>
    <w:rsid w:val="64201218"/>
    <w:rsid w:val="64C32497"/>
    <w:rsid w:val="669D0EEA"/>
    <w:rsid w:val="66B64FC1"/>
    <w:rsid w:val="66C861F9"/>
    <w:rsid w:val="66D04BBC"/>
    <w:rsid w:val="67655BF9"/>
    <w:rsid w:val="678C3343"/>
    <w:rsid w:val="67C6389B"/>
    <w:rsid w:val="685D4EEE"/>
    <w:rsid w:val="68AE1587"/>
    <w:rsid w:val="68CC4906"/>
    <w:rsid w:val="68D53E8D"/>
    <w:rsid w:val="69605268"/>
    <w:rsid w:val="699C76C5"/>
    <w:rsid w:val="6A194855"/>
    <w:rsid w:val="6A2F056E"/>
    <w:rsid w:val="6A7219A6"/>
    <w:rsid w:val="6B292599"/>
    <w:rsid w:val="6D9172E5"/>
    <w:rsid w:val="6DF1703F"/>
    <w:rsid w:val="6E133456"/>
    <w:rsid w:val="6ECB7DD2"/>
    <w:rsid w:val="6F123DD8"/>
    <w:rsid w:val="6F1E315D"/>
    <w:rsid w:val="6F2A3FC1"/>
    <w:rsid w:val="6F79454F"/>
    <w:rsid w:val="6F9153AC"/>
    <w:rsid w:val="6FE61065"/>
    <w:rsid w:val="70521A25"/>
    <w:rsid w:val="70675779"/>
    <w:rsid w:val="708633A4"/>
    <w:rsid w:val="70C135EC"/>
    <w:rsid w:val="712C7DE8"/>
    <w:rsid w:val="713E0334"/>
    <w:rsid w:val="716F5E64"/>
    <w:rsid w:val="72417AFE"/>
    <w:rsid w:val="72585CB5"/>
    <w:rsid w:val="729B5F03"/>
    <w:rsid w:val="72D92B78"/>
    <w:rsid w:val="72F62A89"/>
    <w:rsid w:val="731B289D"/>
    <w:rsid w:val="736D22BA"/>
    <w:rsid w:val="737357AF"/>
    <w:rsid w:val="74163BE4"/>
    <w:rsid w:val="74A928A6"/>
    <w:rsid w:val="75161F9C"/>
    <w:rsid w:val="75281843"/>
    <w:rsid w:val="75292EAC"/>
    <w:rsid w:val="755A5FEF"/>
    <w:rsid w:val="75775016"/>
    <w:rsid w:val="758E0106"/>
    <w:rsid w:val="7626762C"/>
    <w:rsid w:val="763869A4"/>
    <w:rsid w:val="7667781E"/>
    <w:rsid w:val="76DD4C80"/>
    <w:rsid w:val="778F5135"/>
    <w:rsid w:val="77B53D6B"/>
    <w:rsid w:val="77D54B08"/>
    <w:rsid w:val="78431DDA"/>
    <w:rsid w:val="784F7772"/>
    <w:rsid w:val="785868AD"/>
    <w:rsid w:val="78713929"/>
    <w:rsid w:val="787E700E"/>
    <w:rsid w:val="78E55995"/>
    <w:rsid w:val="79267C0B"/>
    <w:rsid w:val="79310F0C"/>
    <w:rsid w:val="793F61E8"/>
    <w:rsid w:val="79C90FB7"/>
    <w:rsid w:val="7A25684F"/>
    <w:rsid w:val="7A2847FC"/>
    <w:rsid w:val="7A4975BA"/>
    <w:rsid w:val="7A5B105F"/>
    <w:rsid w:val="7A9E5DA7"/>
    <w:rsid w:val="7ABE4B56"/>
    <w:rsid w:val="7B264F79"/>
    <w:rsid w:val="7B3E5659"/>
    <w:rsid w:val="7B471C9D"/>
    <w:rsid w:val="7B4D21AB"/>
    <w:rsid w:val="7BCC4162"/>
    <w:rsid w:val="7C490DB7"/>
    <w:rsid w:val="7C7E37F7"/>
    <w:rsid w:val="7CD80967"/>
    <w:rsid w:val="7D0C2828"/>
    <w:rsid w:val="7D902239"/>
    <w:rsid w:val="7EAF7817"/>
    <w:rsid w:val="7F4E30FB"/>
    <w:rsid w:val="7F78012E"/>
    <w:rsid w:val="7F7B591C"/>
    <w:rsid w:val="7FC51DE6"/>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0</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2024-11-05T01:41:09Z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