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_Toc11445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_Toc21400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_Toc32392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_Toc11104 </w:instrText>
          </w:r>
          <w:r>
            <w:rPr>
              <w:bCs/>
            </w:rPr>
            <w:fldChar w:fldCharType="separate"/>
          </w:r>
          <w:r>
            <w:rPr>
              <w:rFonts w:hint="eastAsia" w:ascii="Times New Roman" w:hAnsi="Times New Roman" w:eastAsia="楷体"/>
              <w:szCs w:val="24"/>
            </w:rPr>
            <w:t>贵金属：静待美国大选结果，贵金属价格反弹</w:t>
          </w:r>
          <w:r>
            <w:rPr>
              <w:bCs/>
            </w:rPr>
            <w:fldChar w:fldCharType="end"/>
          </w:r>
        </w:p>
        <w:p>
          <w:pPr>
            <w:pStyle w:val="59"/>
            <w:tabs>
              <w:tab w:val="right" w:leader="dot" w:pos="8306"/>
            </w:tabs>
          </w:pPr>
          <w:r>
            <w:rPr>
              <w:bCs/>
            </w:rPr>
            <w:fldChar w:fldCharType="begin"/>
          </w:r>
          <w:r>
            <w:rPr>
              <w:bCs/>
            </w:rPr>
            <w:instrText xml:space="preserve"> HYPERLINK \l _Toc13970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_Toc20410 </w:instrText>
          </w:r>
          <w:r>
            <w:rPr>
              <w:bCs/>
            </w:rPr>
            <w:fldChar w:fldCharType="separate"/>
          </w:r>
          <w:r>
            <w:rPr>
              <w:rFonts w:hint="eastAsia" w:ascii="楷体" w:hAnsi="楷体" w:eastAsia="楷体"/>
              <w:szCs w:val="24"/>
            </w:rPr>
            <w:t>碳酸锂：海外矿山季度产量表现分化，期价或偏强震荡</w:t>
          </w:r>
          <w:r>
            <w:rPr>
              <w:bCs/>
            </w:rPr>
            <w:fldChar w:fldCharType="end"/>
          </w:r>
        </w:p>
        <w:p>
          <w:pPr>
            <w:pStyle w:val="74"/>
            <w:tabs>
              <w:tab w:val="right" w:leader="dot" w:pos="8306"/>
            </w:tabs>
          </w:pPr>
          <w:r>
            <w:rPr>
              <w:bCs/>
            </w:rPr>
            <w:fldChar w:fldCharType="begin"/>
          </w:r>
          <w:r>
            <w:rPr>
              <w:bCs/>
            </w:rPr>
            <w:instrText xml:space="preserve"> HYPERLINK \l _Toc17464 </w:instrText>
          </w:r>
          <w:r>
            <w:rPr>
              <w:bCs/>
            </w:rPr>
            <w:fldChar w:fldCharType="separate"/>
          </w:r>
          <w:r>
            <w:rPr>
              <w:rFonts w:hint="eastAsia" w:ascii="楷体" w:hAnsi="楷体" w:eastAsia="楷体"/>
              <w:szCs w:val="24"/>
            </w:rPr>
            <w:t>铝：氧化铝涨价强化电解铝成本支撑</w:t>
          </w:r>
          <w:r>
            <w:rPr>
              <w:bCs/>
            </w:rPr>
            <w:fldChar w:fldCharType="end"/>
          </w:r>
        </w:p>
        <w:p>
          <w:pPr>
            <w:pStyle w:val="74"/>
            <w:tabs>
              <w:tab w:val="right" w:leader="dot" w:pos="8306"/>
            </w:tabs>
          </w:pPr>
          <w:r>
            <w:rPr>
              <w:bCs/>
            </w:rPr>
            <w:fldChar w:fldCharType="begin"/>
          </w:r>
          <w:r>
            <w:rPr>
              <w:bCs/>
            </w:rPr>
            <w:instrText xml:space="preserve"> HYPERLINK \l _Toc5712 </w:instrText>
          </w:r>
          <w:r>
            <w:rPr>
              <w:bCs/>
            </w:rPr>
            <w:fldChar w:fldCharType="separate"/>
          </w:r>
          <w:r>
            <w:rPr>
              <w:rFonts w:hint="eastAsia" w:ascii="楷体" w:hAnsi="楷体" w:eastAsia="楷体"/>
              <w:szCs w:val="24"/>
            </w:rPr>
            <w:t>锌：震荡难跌</w:t>
          </w:r>
          <w:r>
            <w:rPr>
              <w:bCs/>
            </w:rPr>
            <w:fldChar w:fldCharType="end"/>
          </w:r>
        </w:p>
        <w:p>
          <w:pPr>
            <w:pStyle w:val="74"/>
            <w:tabs>
              <w:tab w:val="right" w:leader="dot" w:pos="8306"/>
            </w:tabs>
          </w:pPr>
          <w:r>
            <w:rPr>
              <w:bCs/>
            </w:rPr>
            <w:fldChar w:fldCharType="begin"/>
          </w:r>
          <w:r>
            <w:rPr>
              <w:bCs/>
            </w:rPr>
            <w:instrText xml:space="preserve"> HYPERLINK \l _Toc773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：震荡偏强</w:t>
          </w:r>
          <w:r>
            <w:rPr>
              <w:bCs/>
            </w:rPr>
            <w:fldChar w:fldCharType="end"/>
          </w:r>
        </w:p>
        <w:p>
          <w:pPr>
            <w:pStyle w:val="74"/>
            <w:tabs>
              <w:tab w:val="right" w:leader="dot" w:pos="8306"/>
            </w:tabs>
          </w:pPr>
          <w:r>
            <w:rPr>
              <w:bCs/>
            </w:rPr>
            <w:fldChar w:fldCharType="begin"/>
          </w:r>
          <w:r>
            <w:rPr>
              <w:bCs/>
            </w:rPr>
            <w:instrText xml:space="preserve"> HYPERLINK \l _Toc32476 </w:instrText>
          </w:r>
          <w:r>
            <w:rPr>
              <w:bCs/>
            </w:rPr>
            <w:fldChar w:fldCharType="separate"/>
          </w:r>
          <w:r>
            <w:rPr>
              <w:rFonts w:hint="eastAsia" w:ascii="楷体" w:hAnsi="楷体" w:eastAsia="楷体"/>
              <w:szCs w:val="24"/>
            </w:rPr>
            <w:t>镍：短期镍价跟随宏观震荡</w:t>
          </w:r>
          <w:r>
            <w:rPr>
              <w:bCs/>
            </w:rPr>
            <w:fldChar w:fldCharType="end"/>
          </w:r>
        </w:p>
        <w:p>
          <w:pPr>
            <w:pStyle w:val="74"/>
            <w:tabs>
              <w:tab w:val="right" w:leader="dot" w:pos="8306"/>
            </w:tabs>
          </w:pPr>
          <w:r>
            <w:rPr>
              <w:bCs/>
            </w:rPr>
            <w:fldChar w:fldCharType="begin"/>
          </w:r>
          <w:r>
            <w:rPr>
              <w:bCs/>
            </w:rPr>
            <w:instrText xml:space="preserve"> HYPERLINK \l _Toc17573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_Toc2512 </w:instrText>
          </w:r>
          <w:r>
            <w:rPr>
              <w:bCs/>
            </w:rPr>
            <w:fldChar w:fldCharType="separate"/>
          </w:r>
          <w:r>
            <w:rPr>
              <w:rFonts w:hint="eastAsia" w:ascii="楷体" w:hAnsi="楷体" w:eastAsia="楷体"/>
              <w:szCs w:val="24"/>
            </w:rPr>
            <w:t>铅：再生铅减产，但需求走弱制约铅价</w:t>
          </w:r>
          <w:r>
            <w:rPr>
              <w:bCs/>
            </w:rPr>
            <w:fldChar w:fldCharType="end"/>
          </w:r>
        </w:p>
        <w:p>
          <w:pPr>
            <w:pStyle w:val="74"/>
            <w:tabs>
              <w:tab w:val="right" w:leader="dot" w:pos="8306"/>
            </w:tabs>
          </w:pPr>
          <w:r>
            <w:rPr>
              <w:bCs/>
            </w:rPr>
            <w:fldChar w:fldCharType="begin"/>
          </w:r>
          <w:r>
            <w:rPr>
              <w:bCs/>
            </w:rPr>
            <w:instrText xml:space="preserve"> HYPERLINK \l _Toc28524 </w:instrText>
          </w:r>
          <w:r>
            <w:rPr>
              <w:bCs/>
            </w:rPr>
            <w:fldChar w:fldCharType="separate"/>
          </w:r>
          <w:r>
            <w:rPr>
              <w:rFonts w:hint="eastAsia" w:ascii="楷体" w:hAnsi="楷体" w:eastAsia="楷体"/>
              <w:szCs w:val="24"/>
            </w:rPr>
            <w:t>不锈钢：仓单库存高企，期价承压运行</w:t>
          </w:r>
          <w:r>
            <w:rPr>
              <w:bCs/>
            </w:rPr>
            <w:fldChar w:fldCharType="end"/>
          </w:r>
        </w:p>
        <w:p>
          <w:pPr>
            <w:pStyle w:val="74"/>
            <w:tabs>
              <w:tab w:val="right" w:leader="dot" w:pos="8306"/>
            </w:tabs>
          </w:pPr>
          <w:r>
            <w:rPr>
              <w:bCs/>
            </w:rPr>
            <w:fldChar w:fldCharType="begin"/>
          </w:r>
          <w:r>
            <w:rPr>
              <w:bCs/>
            </w:rPr>
            <w:instrText xml:space="preserve"> HYPERLINK \l _Toc30001 </w:instrText>
          </w:r>
          <w:r>
            <w:rPr>
              <w:bCs/>
            </w:rPr>
            <w:fldChar w:fldCharType="separate"/>
          </w:r>
          <w:r>
            <w:rPr>
              <w:rFonts w:hint="eastAsia" w:ascii="楷体" w:hAnsi="楷体" w:eastAsia="楷体"/>
              <w:szCs w:val="24"/>
            </w:rPr>
            <w:t>工业硅：基本面改善有限，盘面以震荡对待</w:t>
          </w:r>
          <w:r>
            <w:rPr>
              <w:bCs/>
            </w:rPr>
            <w:fldChar w:fldCharType="end"/>
          </w:r>
        </w:p>
        <w:p>
          <w:pPr>
            <w:pStyle w:val="74"/>
            <w:tabs>
              <w:tab w:val="right" w:leader="dot" w:pos="8306"/>
            </w:tabs>
          </w:pPr>
          <w:r>
            <w:rPr>
              <w:bCs/>
            </w:rPr>
            <w:fldChar w:fldCharType="begin"/>
          </w:r>
          <w:r>
            <w:rPr>
              <w:bCs/>
            </w:rPr>
            <w:instrText xml:space="preserve"> HYPERLINK \l _Toc32325 </w:instrText>
          </w:r>
          <w:r>
            <w:rPr>
              <w:bCs/>
            </w:rPr>
            <w:fldChar w:fldCharType="separate"/>
          </w:r>
          <w:r>
            <w:rPr>
              <w:rFonts w:hint="eastAsia" w:ascii="楷体" w:hAnsi="楷体" w:eastAsia="楷体"/>
              <w:szCs w:val="24"/>
            </w:rPr>
            <w:t>螺纹钢：宏观情绪仍存，短期或震荡运行</w:t>
          </w:r>
          <w:r>
            <w:rPr>
              <w:bCs/>
            </w:rPr>
            <w:fldChar w:fldCharType="end"/>
          </w:r>
        </w:p>
        <w:p>
          <w:pPr>
            <w:pStyle w:val="59"/>
            <w:tabs>
              <w:tab w:val="right" w:leader="dot" w:pos="8306"/>
            </w:tabs>
          </w:pPr>
          <w:r>
            <w:rPr>
              <w:bCs/>
            </w:rPr>
            <w:fldChar w:fldCharType="begin"/>
          </w:r>
          <w:r>
            <w:rPr>
              <w:bCs/>
            </w:rPr>
            <w:instrText xml:space="preserve"> HYPERLINK \l _Toc6479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_Toc21769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泰南地区降水较多 天胶成本支撑企稳</w:t>
          </w:r>
          <w:r>
            <w:rPr>
              <w:bCs/>
            </w:rPr>
            <w:fldChar w:fldCharType="end"/>
          </w:r>
        </w:p>
        <w:p>
          <w:pPr>
            <w:pStyle w:val="74"/>
            <w:tabs>
              <w:tab w:val="right" w:leader="dot" w:pos="8306"/>
            </w:tabs>
          </w:pPr>
          <w:r>
            <w:rPr>
              <w:bCs/>
            </w:rPr>
            <w:fldChar w:fldCharType="begin"/>
          </w:r>
          <w:r>
            <w:rPr>
              <w:bCs/>
            </w:rPr>
            <w:instrText xml:space="preserve"> HYPERLINK \l _Toc11334 </w:instrText>
          </w:r>
          <w:r>
            <w:rPr>
              <w:bCs/>
            </w:rPr>
            <w:fldChar w:fldCharType="separate"/>
          </w:r>
          <w:r>
            <w:rPr>
              <w:rFonts w:hint="eastAsia" w:ascii="Times New Roman" w:hAnsi="Times New Roman" w:eastAsia="楷体"/>
              <w:szCs w:val="24"/>
            </w:rPr>
            <w:t>聚烯烃：供需面无明显亮点，聚烯烃随原油波动为主</w:t>
          </w:r>
          <w:r>
            <w:rPr>
              <w:bCs/>
            </w:rPr>
            <w:fldChar w:fldCharType="end"/>
          </w:r>
        </w:p>
        <w:p>
          <w:pPr>
            <w:pStyle w:val="74"/>
            <w:tabs>
              <w:tab w:val="right" w:leader="dot" w:pos="8306"/>
            </w:tabs>
          </w:pPr>
          <w:r>
            <w:rPr>
              <w:bCs/>
            </w:rPr>
            <w:fldChar w:fldCharType="begin"/>
          </w:r>
          <w:r>
            <w:rPr>
              <w:bCs/>
            </w:rPr>
            <w:instrText xml:space="preserve"> HYPERLINK \l _Toc13443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_Toc10850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_Toc13235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_Toc21221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_Toc4111 </w:instrText>
          </w:r>
          <w:r>
            <w:rPr>
              <w:bCs/>
            </w:rPr>
            <w:fldChar w:fldCharType="separate"/>
          </w:r>
          <w:r>
            <w:rPr>
              <w:rFonts w:hint="eastAsia" w:ascii="Times New Roman" w:hAnsi="Times New Roman" w:eastAsia="楷体"/>
              <w:szCs w:val="24"/>
            </w:rPr>
            <w:t>乙二醇：开工下滑及下游改善 震荡偏强</w:t>
          </w:r>
          <w:r>
            <w:rPr>
              <w:bCs/>
            </w:rPr>
            <w:fldChar w:fldCharType="end"/>
          </w:r>
        </w:p>
        <w:p>
          <w:pPr>
            <w:pStyle w:val="59"/>
            <w:tabs>
              <w:tab w:val="right" w:leader="dot" w:pos="8306"/>
            </w:tabs>
          </w:pPr>
          <w:r>
            <w:rPr>
              <w:bCs/>
            </w:rPr>
            <w:fldChar w:fldCharType="begin"/>
          </w:r>
          <w:r>
            <w:rPr>
              <w:bCs/>
            </w:rPr>
            <w:instrText xml:space="preserve"> HYPERLINK \l _Toc25537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_Toc29899 </w:instrText>
          </w:r>
          <w:r>
            <w:rPr>
              <w:bCs/>
            </w:rPr>
            <w:fldChar w:fldCharType="separate"/>
          </w:r>
          <w:r>
            <w:rPr>
              <w:rFonts w:hint="eastAsia" w:ascii="楷体" w:hAnsi="楷体" w:eastAsia="楷体"/>
              <w:bCs/>
            </w:rPr>
            <w:t>玉米与淀粉：</w:t>
          </w:r>
          <w:r>
            <w:rPr>
              <w:rFonts w:hint="eastAsia" w:ascii="楷体" w:hAnsi="楷体" w:eastAsia="楷体"/>
            </w:rPr>
            <w:t>期价偏强震荡运行</w:t>
          </w:r>
          <w:r>
            <w:rPr>
              <w:bCs/>
            </w:rPr>
            <w:fldChar w:fldCharType="end"/>
          </w:r>
        </w:p>
        <w:p>
          <w:pPr>
            <w:pStyle w:val="74"/>
            <w:tabs>
              <w:tab w:val="right" w:leader="dot" w:pos="8306"/>
            </w:tabs>
          </w:pPr>
          <w:r>
            <w:rPr>
              <w:bCs/>
            </w:rPr>
            <w:fldChar w:fldCharType="begin"/>
          </w:r>
          <w:r>
            <w:rPr>
              <w:bCs/>
            </w:rPr>
            <w:instrText xml:space="preserve"> HYPERLINK \l _Toc21562 </w:instrText>
          </w:r>
          <w:r>
            <w:rPr>
              <w:bCs/>
            </w:rPr>
            <w:fldChar w:fldCharType="separate"/>
          </w:r>
          <w:r>
            <w:rPr>
              <w:rFonts w:hint="eastAsia" w:ascii="楷体" w:hAnsi="楷体" w:eastAsia="楷体"/>
              <w:bCs/>
            </w:rPr>
            <w:t>畜禽养殖：期价震荡运行</w:t>
          </w:r>
          <w:r>
            <w:rPr>
              <w:bCs/>
            </w:rPr>
            <w:fldChar w:fldCharType="end"/>
          </w:r>
        </w:p>
        <w:p>
          <w:pPr>
            <w:pStyle w:val="74"/>
            <w:tabs>
              <w:tab w:val="right" w:leader="dot" w:pos="8306"/>
            </w:tabs>
          </w:pPr>
          <w:r>
            <w:rPr>
              <w:bCs/>
            </w:rPr>
            <w:fldChar w:fldCharType="begin"/>
          </w:r>
          <w:r>
            <w:rPr>
              <w:bCs/>
            </w:rPr>
            <w:instrText xml:space="preserve"> HYPERLINK \l _Toc6520 </w:instrText>
          </w:r>
          <w:r>
            <w:rPr>
              <w:bCs/>
            </w:rPr>
            <w:fldChar w:fldCharType="separate"/>
          </w:r>
          <w:r>
            <w:rPr>
              <w:rFonts w:hint="eastAsia" w:ascii="楷体" w:hAnsi="楷体" w:eastAsia="楷体"/>
              <w:bCs/>
            </w:rPr>
            <w:t>白糖：内外糖价高位区间宽幅震荡整理，短期向下突破可能性较大</w:t>
          </w:r>
          <w:r>
            <w:rPr>
              <w:bCs/>
            </w:rPr>
            <w:fldChar w:fldCharType="end"/>
          </w:r>
        </w:p>
        <w:p>
          <w:pPr>
            <w:pStyle w:val="74"/>
            <w:tabs>
              <w:tab w:val="right" w:leader="dot" w:pos="8306"/>
            </w:tabs>
          </w:pPr>
          <w:r>
            <w:rPr>
              <w:bCs/>
            </w:rPr>
            <w:fldChar w:fldCharType="begin"/>
          </w:r>
          <w:r>
            <w:rPr>
              <w:bCs/>
            </w:rPr>
            <w:instrText xml:space="preserve"> HYPERLINK \l _Toc3474 </w:instrText>
          </w:r>
          <w:r>
            <w:rPr>
              <w:bCs/>
            </w:rPr>
            <w:fldChar w:fldCharType="separate"/>
          </w:r>
          <w:r>
            <w:rPr>
              <w:rFonts w:hint="eastAsia" w:ascii="楷体" w:hAnsi="楷体" w:eastAsia="楷体"/>
              <w:bCs/>
            </w:rPr>
            <w:t>棉花：预计郑棉围绕1.4关口区间震荡</w:t>
          </w:r>
          <w:r>
            <w:rPr>
              <w:bCs/>
            </w:rPr>
            <w:fldChar w:fldCharType="end"/>
          </w:r>
        </w:p>
        <w:p>
          <w:pPr>
            <w:pStyle w:val="74"/>
            <w:tabs>
              <w:tab w:val="right" w:leader="dot" w:pos="8306"/>
            </w:tabs>
          </w:pPr>
          <w:r>
            <w:rPr>
              <w:bCs/>
            </w:rPr>
            <w:fldChar w:fldCharType="begin"/>
          </w:r>
          <w:r>
            <w:rPr>
              <w:bCs/>
            </w:rPr>
            <w:instrText xml:space="preserve"> HYPERLINK \l _Toc23154 </w:instrText>
          </w:r>
          <w:r>
            <w:rPr>
              <w:bCs/>
            </w:rPr>
            <w:fldChar w:fldCharType="separate"/>
          </w:r>
          <w:r>
            <w:rPr>
              <w:rFonts w:hint="eastAsia" w:ascii="楷体" w:hAnsi="楷体" w:eastAsia="楷体"/>
              <w:bCs/>
            </w:rPr>
            <w:t>苹果：区间偏弱震荡，消化前期涨幅</w:t>
          </w:r>
          <w:r>
            <w:rPr>
              <w:bCs/>
            </w:rPr>
            <w:fldChar w:fldCharType="end"/>
          </w:r>
        </w:p>
        <w:p>
          <w:pPr>
            <w:pStyle w:val="74"/>
            <w:tabs>
              <w:tab w:val="right" w:leader="dot" w:pos="8306"/>
            </w:tabs>
          </w:pPr>
          <w:r>
            <w:rPr>
              <w:bCs/>
            </w:rPr>
            <w:fldChar w:fldCharType="begin"/>
          </w:r>
          <w:r>
            <w:rPr>
              <w:bCs/>
            </w:rPr>
            <w:instrText xml:space="preserve"> HYPERLINK \l _Toc23092 </w:instrText>
          </w:r>
          <w:r>
            <w:rPr>
              <w:bCs/>
            </w:rPr>
            <w:fldChar w:fldCharType="separate"/>
          </w:r>
          <w:r>
            <w:rPr>
              <w:rFonts w:hint="eastAsia" w:ascii="楷体" w:hAnsi="楷体" w:eastAsia="楷体"/>
              <w:bCs/>
            </w:rPr>
            <w:t>蛋白粕：无新的叙事驱动，依旧偏弱</w:t>
          </w:r>
          <w:r>
            <w:rPr>
              <w:bCs/>
            </w:rPr>
            <w:fldChar w:fldCharType="end"/>
          </w:r>
        </w:p>
        <w:p>
          <w:pPr>
            <w:pStyle w:val="74"/>
            <w:tabs>
              <w:tab w:val="right" w:leader="dot" w:pos="8306"/>
            </w:tabs>
          </w:pPr>
          <w:r>
            <w:rPr>
              <w:bCs/>
            </w:rPr>
            <w:fldChar w:fldCharType="begin"/>
          </w:r>
          <w:r>
            <w:rPr>
              <w:bCs/>
            </w:rPr>
            <w:instrText xml:space="preserve"> HYPERLINK \l _Toc16892 </w:instrText>
          </w:r>
          <w:r>
            <w:rPr>
              <w:bCs/>
            </w:rPr>
            <w:fldChar w:fldCharType="separate"/>
          </w:r>
          <w:r>
            <w:rPr>
              <w:rFonts w:hint="eastAsia" w:ascii="楷体" w:hAnsi="楷体" w:eastAsia="楷体"/>
              <w:bCs/>
            </w:rPr>
            <w:t>油脂类：多头获利离场，期价回落</w:t>
          </w:r>
          <w:r>
            <w:rPr>
              <w:bCs/>
            </w:rPr>
            <w:fldChar w:fldCharType="end"/>
          </w:r>
        </w:p>
        <w:p>
          <w:pPr>
            <w:pStyle w:val="59"/>
            <w:tabs>
              <w:tab w:val="right" w:leader="dot" w:pos="8306"/>
            </w:tabs>
          </w:pPr>
          <w:r>
            <w:rPr>
              <w:bCs/>
            </w:rPr>
            <w:fldChar w:fldCharType="begin"/>
          </w:r>
          <w:r>
            <w:rPr>
              <w:bCs/>
            </w:rPr>
            <w:instrText xml:space="preserve"> HYPERLINK \l _Toc18155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_Toc28409 </w:instrText>
          </w:r>
          <w:r>
            <w:rPr>
              <w:bCs/>
            </w:rPr>
            <w:fldChar w:fldCharType="separate"/>
          </w:r>
          <w:r>
            <w:rPr>
              <w:rFonts w:hint="eastAsia" w:ascii="Times New Roman" w:hAnsi="Times New Roman" w:eastAsia="楷体"/>
              <w:szCs w:val="24"/>
            </w:rPr>
            <w:t>集运指数（欧线）：11月中下旬提涨，期价反弹</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144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140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本周前两个交易日（11.04-11.05），A股强势上涨，沪指重回5日均线上方，市场在等待美国大选结果和财政发力细节落地，同时在资金面和风险偏好支撑下仍然整体维持强势震荡的特征。进入下半周诸多悬念将要揭晓，核心是美国大选、国内财政政策细节和美联储降息三大关注点。目前，市场已对即将落地的宏观事件做了较为充分的推演，各指数尤其是以中证1000为代表的中小盘成长风格接近10月8日的前高，交易博弈难度和潜在风险增加。市场的继续走强需要外生刺激，如政策强刺激验证或中短期基本面改善可持续的线索，可以等待待外部不确定性落地再行低位布局IF及IM。</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239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1104"/>
      <w:r>
        <w:rPr>
          <w:rFonts w:hint="eastAsia" w:ascii="Times New Roman" w:hAnsi="Times New Roman" w:eastAsia="楷体"/>
          <w:b/>
          <w:color w:val="000000" w:themeColor="text1"/>
          <w:sz w:val="24"/>
          <w:szCs w:val="24"/>
          <w14:textFill>
            <w14:solidFill>
              <w14:schemeClr w14:val="tx1"/>
            </w14:solidFill>
          </w14:textFill>
        </w:rPr>
        <w:t>贵金属：静待美国大选结果，贵金属价格反弹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跌0.47%至103.41，沪金涨0.11%至625.28元/克，沪银涨0.70%至8027元/千克。美国10月ISM非制造业PMI录得56，高于预期及前值。美国10月标普全球服务业PMI终值55，前值55.3；综合PMI终值54.1，前值54.3。澳洲联储连续第八次会议维持关键利率在4.35%不变，符合市场预期。美国截至11月2日当周红皮书商业零售销售同比升6.0%，前值升5.6%。短期内市场避险情绪扰动加剧，重点关注美国大选结果，美联储议息决议因大选延期一天至周五凌晨公布，期价或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397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0410"/>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碳酸锂：海外矿山季度产量表现分化，期价或偏强震荡</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上涨，01合约收涨0.65%至77350元/吨。11月5日交割配对2997手，11月累计配对13411手；11月5日交割7596手。Greenbushes第三季度报告显示，其三季度锂精矿产量40.6万吨，环比增22%，生产成本有所下降。Pilbara三季度报告显示，三季度锂精矿产量22.01万吨，环比降低3%，单位运营成本微涨。11月正极、电池企业整体排产环比微增，略好于此前预期。广期所发布期货注册品牌管理规定，后续或考虑引入品牌交割，促进上下游参与交割、进一步保障质量。下游排产略好于预期以及澳矿减产预期兑现等因素推动期价上涨，后续期价或偏强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17464"/>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氧化铝涨价强化电解铝成本支撑</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大选结果公布在即，国内会议释放政策面利多，市场对国内经济复苏仍有乐观预期。国内铝土矿供应压力或逐步在几内亚进口矿量抬升的节奏中逐步缓解，持续关注进口矿量变化情况，氧化铝价格高位，电解铝厂氧化铝原料库存低位，反映现货市场流通货源紧张，氧化铝虽有冗余产能但受矿紧限制投产难增，氧化铝-电解铝供需目前维持紧平衡状态，下游电解铝开产高位，预计年内产能可达4400万吨，云南枯水期不减产，电解铝供应高位并保持相对稳定，铝棒、铝锭库存持续去库。</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基本面保持原料紧张，供应稳定高产，下游需求确有改善，氧化铝价格再度强势，强化电解铝成本支撑，趋势依旧偏多看待。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5712"/>
      <w:r>
        <w:rPr>
          <w:rFonts w:hint="eastAsia" w:ascii="楷体" w:hAnsi="楷体" w:eastAsia="楷体"/>
          <w:b/>
          <w:color w:val="000000" w:themeColor="text1"/>
          <w:sz w:val="24"/>
          <w:szCs w:val="24"/>
          <w14:textFill>
            <w14:solidFill>
              <w14:schemeClr w14:val="tx1"/>
            </w14:solidFill>
          </w14:textFill>
        </w:rPr>
        <w:t>锌：震荡难跌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14家锌企再聚会议表示挺价加工费，供应端仍有可能技改减产。矿端供应维持紧张格局，北方矿山面临季节性减产，进入冬季下游有冬储需求，预计TC加工费保持低位提增有限，精炼锌产量略有抬升，部分厂家因冶炼利润亏损有减产观望预期，下游企业开工率有小幅改善，海外库存累增，国内库存保持低位，需求旺季不旺，进入淡季持续观望需求变化情况。矿紧传导的供应边际收缩对锌价形成较强支撑，现实需求表现较弱，后续关注宏观情绪叠加需求改善情况，锌价高位震荡难跌，中长维持多配观点。</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77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：震荡偏强</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(1)宏观：美国10月ISM服务业PMI指数为56，创2022年7月以来新高，预期为53.8，9月前值为54.9。</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(2)库存：11月5日，SHFE仓单库存47397吨，减2176吨；LME仓单库存272975吨，减875吨。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(3)精废价差：11月5日，Mysteel精废价差1491，扩张179。目前价差在合理价差1475之上。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海外等待大选结果及11月降息落地，国内昨日会上提及货币政策和财政政策都有比较大的空间，提振市场信心，整体风险偏好有所回温。基本面，国内库存去化，现货升水小幅走强，铜精矿TC小幅上涨，但由于现货散单TC持续偏低，明年长单的确定或存在较大分歧，而倘着长时间的低加工费可能会令冶炼厂存在减产压力。整体而言，当前铜价呈现易涨难跌走势，参考7.6-7.9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32476"/>
      <w:r>
        <w:rPr>
          <w:rFonts w:hint="eastAsia" w:ascii="楷体" w:hAnsi="楷体" w:eastAsia="楷体"/>
          <w:b/>
          <w:color w:val="000000" w:themeColor="text1"/>
          <w:sz w:val="24"/>
          <w:szCs w:val="24"/>
          <w14:textFill>
            <w14:solidFill>
              <w14:schemeClr w14:val="tx1"/>
            </w14:solidFill>
          </w14:textFill>
        </w:rPr>
        <w:t>镍：短期镍价跟随宏观震荡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关注美国大选结果及人大会议的财政政策力度。镍矿方面，矿端价格支撑有走弱迹象，印尼中高品味镍矿内贸升水从10月的22美元/湿吨下调至11月的17美元/湿吨。供需方面，精炼镍基本面未有明显变化，延续过剩格局。综合而言，宏观不确定性或为镍价增加弹性，但基本面延续过剩格局，LME累库明显，矿端支撑存在减弱预期，镍价上方空间始终有限，短期镍价运行区间参考120000-132000元/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7573"/>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缅甸锡矿目前并未有明确复产消息，锡矿供应仍保持偏紧态势，加工费维持低位运行，10月随着国内大型炼厂检修结束，云南、江西锡锭开工率恢复至正常水平。下游需求相对平稳，上周锡锭社会库存减214吨至9781吨。短期市场关注周内美国大选及国内重要会议，预计价格维持区间震荡运行，参考26-26.5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512"/>
      <w:r>
        <w:rPr>
          <w:rFonts w:hint="eastAsia" w:ascii="楷体" w:hAnsi="楷体" w:eastAsia="楷体"/>
          <w:b/>
          <w:color w:val="000000" w:themeColor="text1"/>
          <w:sz w:val="24"/>
          <w:szCs w:val="24"/>
          <w14:textFill>
            <w14:solidFill>
              <w14:schemeClr w14:val="tx1"/>
            </w14:solidFill>
          </w14:textFill>
        </w:rPr>
        <w:t>铅：再生铅减产，但需求走弱制约铅价</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我国再生铅主产区安徽的环保督察将持续至11月底，且十月底以来河南、河北、安徽等地区陆续发布重污染天气预警，再生铅供应或有明显下降。需求方面，下游补库以刚需为主，终端消费已逐渐步入传统淡季，铅蓄电池成品库存继续增加。库存方面，截止11月4日，全国主要市场铅锭社会库存为6.75万吨，较10月31日减少0.14万吨，较10月28日减少0.32万吨。综合而言，环保督察及重污染天气对再生铅供应造成影响，但同时需求趋弱也对铅价带来制约，预计铅价上方空间有限，关注再生铅减产力度。</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8524"/>
      <w:r>
        <w:rPr>
          <w:rFonts w:hint="eastAsia" w:ascii="楷体" w:hAnsi="楷体" w:eastAsia="楷体"/>
          <w:b/>
          <w:color w:val="000000" w:themeColor="text1"/>
          <w:sz w:val="24"/>
          <w:szCs w:val="24"/>
          <w14:textFill>
            <w14:solidFill>
              <w14:schemeClr w14:val="tx1"/>
            </w14:solidFill>
          </w14:textFill>
        </w:rPr>
        <w:t>不锈钢：仓单库存高企，期价承压运行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随着印尼镍矿审批配额释放，矿端价格支撑已有走弱迹象，11月印尼中高品味镍矿内贸升水下调至17美元/湿吨，但印尼政府把控下，未来镍矿回调节奏仍需观察。镍铁方面，镍铁厂家挺价，为不锈钢提供较强成本支撑，但鉴于不锈钢需求弱势及矿端支撑回落预期，后市镍铁价格存在小幅下调空间。供应方面，11月不锈钢粗钢排产329.6万吨，月环比增加1%。需求方面，金九银十传统旺季基本落空，房地产等宏观利好政策对不锈钢需求改善作用仍需要时间等待。社会库存方面，上周不锈钢89仓库口径社会库存100.11万吨，环比下降2.89%；截至11月5日，不锈钢期货库存10.8万吨，处于近年高位水平。综合而言，镍铁价格暂坚挺，为不锈钢价格提供底部支撑，但供应维持高位而淡季需求难见明显起色，加上矿端支撑回落预期和仓单库存高位压力，不锈钢期价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3000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基本面改善有限，盘面以震荡对待</w:t>
      </w:r>
      <w:bookmarkEnd w:id="27"/>
    </w:p>
    <w:p>
      <w:pPr>
        <w:ind w:left="630" w:leftChars="300"/>
        <w:rPr>
          <w:rFonts w:ascii="楷体" w:hAnsi="楷体" w:eastAsia="楷体"/>
          <w:sz w:val="24"/>
          <w:szCs w:val="24"/>
        </w:rPr>
      </w:pPr>
      <w:r>
        <w:rPr>
          <w:rFonts w:hint="eastAsia" w:ascii="楷体" w:hAnsi="楷体" w:eastAsia="楷体"/>
          <w:sz w:val="24"/>
          <w:szCs w:val="24"/>
        </w:rPr>
        <w:t>11月5日，Si2412主力合约呈下行走势，收盘价12715元/吨，较上一收盘价涨跌幅-1.51%。西南正式进入枯水期，供应压力将边际改善，但由于北方存在新增产能投放预期，同时需求暂无改善预期，基本面改善幅度相对有限，以及行业库存依旧较高，月底仓单集中注销后将流回现货市场，对反弹仍有压制。临近美国大选以及国内重要会议，市场仍有大幅波动可能性，盘面以宽幅震荡对待，Si2412合约参考区间（12500，13400）。策略上，恢复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32325"/>
      <w:r>
        <w:rPr>
          <w:rFonts w:hint="eastAsia" w:ascii="楷体" w:hAnsi="楷体" w:eastAsia="楷体"/>
          <w:b/>
          <w:color w:val="000000" w:themeColor="text1"/>
          <w:sz w:val="24"/>
          <w:szCs w:val="24"/>
          <w14:textFill>
            <w14:solidFill>
              <w14:schemeClr w14:val="tx1"/>
            </w14:solidFill>
          </w14:textFill>
        </w:rPr>
        <w:t>螺纹钢：宏观情绪仍存，短期或震荡运行</w:t>
      </w:r>
      <w:bookmarkEnd w:id="28"/>
    </w:p>
    <w:p>
      <w:pPr>
        <w:ind w:left="630" w:leftChars="300"/>
        <w:rPr>
          <w:rFonts w:ascii="楷体" w:hAnsi="楷体" w:eastAsia="楷体"/>
          <w:sz w:val="24"/>
          <w:szCs w:val="24"/>
        </w:rPr>
      </w:pPr>
      <w:r>
        <w:rPr>
          <w:rFonts w:hint="eastAsia" w:ascii="楷体" w:hAnsi="楷体" w:eastAsia="楷体"/>
          <w:sz w:val="24"/>
          <w:szCs w:val="24"/>
        </w:rPr>
        <w:t>从宏观面来看，美国大选临近，同时国内即将召开人大常委会，将成增量政策落地“关键窗口”，市场情绪仍有一定支撑;从基本面来看，步入季节性淡季，行业呈现供强需弱格局，库存去化也已边际放缓，阶段性供需压力有所加大，对盘面反弹存在压制。在基本面偏弱情况下，但宏观情绪仍有一定支撑，短期盘面以震荡对待，后续重点关注政策发力情况。</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6479"/>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2176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泰南地区降水较多 天胶成本支撑企稳</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主要产区的最新报价来看，昨日各品类胶价暂时企稳，主因泰南地区本周降水有所增加，对割胶作业影响加大。库存方面，本周青岛港口小幅累库。下游需求方面，近期全钢胎开工恢复较好同时成品库存持续降库，或因双十一电商节到来下长途物流运输需求好转；半钢轮胎维持产销高景气。整体看，尽管四季度橡胶在基本面供小于求的支撑下以偏多头思路看待，但仍需持续关注东南亚主产区短期降水问题有出现缓和迹象，九月以来轮胎出口数据出现较大下滑，谨防主力下游半钢胎需求走弱，短期天胶震荡表现为主。</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1334"/>
      <w:r>
        <w:rPr>
          <w:rFonts w:hint="eastAsia" w:ascii="Times New Roman" w:hAnsi="Times New Roman" w:eastAsia="楷体"/>
          <w:b/>
          <w:color w:val="000000" w:themeColor="text1"/>
          <w:sz w:val="24"/>
          <w:szCs w:val="24"/>
          <w14:textFill>
            <w14:solidFill>
              <w14:schemeClr w14:val="tx1"/>
            </w14:solidFill>
          </w14:textFill>
        </w:rPr>
        <w:t>聚烯烃：供需面无明显亮点，聚烯烃随原油波动为主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市场等待美国总统大选结果，并权衡中东的事态发展，国际油价连续第5天上涨，聚烯烃成本支撑有所好转，盘面震荡表现。PE开工率降低至偏低水平，PP开工率回升，其中PDH制PP开工率仍处于中下水平。预计未来开工率将回升。PE进口窗口打开，内外盘供应均有增量预期。当前处于聚烯烃旺季需求尾声，旺季需求复苏的预期基本落空。在下游利润及订单的制约下，需求端对价格正反馈有限。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3443"/>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10850"/>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13235"/>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21221"/>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原油方面，OPEC+推迟增产减缓原油市场过剩压力，且地缘恐慌情绪再度升温，大选前原油延续反弹势头。PX 近期开工率有所下滑，当前宽松的现货供应格局下，PX弱势难改。本周恒力惠州250万吨恢复正常，独山能源250万吨检修，至11.1 PTA负荷在80.4%。本周聚酯装置大体平稳为主，初步核算国内大陆地区聚酯负荷在92.9%附近。天气转冷下游开工小幅提升。聚酯公布的装置检修计划不多，11月月均开工维持在9成以上。综合来看，近期随着成本端大幅下行，PTA动态加工费回升至365元/吨中性，产业链上下游开工均维持偏高水平，11、12月装置检修较少，供需双增下PTA2501合约运行区间为4850-5200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4111"/>
      <w:r>
        <w:rPr>
          <w:rFonts w:hint="eastAsia" w:ascii="Times New Roman" w:hAnsi="Times New Roman" w:eastAsia="楷体"/>
          <w:b/>
          <w:color w:val="000000" w:themeColor="text1"/>
          <w:sz w:val="24"/>
          <w:szCs w:val="24"/>
          <w14:textFill>
            <w14:solidFill>
              <w14:schemeClr w14:val="tx1"/>
            </w14:solidFill>
          </w14:textFill>
        </w:rPr>
        <w:t>乙二醇：开工下滑及下游改善 震荡偏强</w:t>
      </w:r>
      <w:bookmarkEnd w:id="37"/>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11.4 华东主港地区MEG港口库存约57.1万吨附近，环比上周-7.5万吨。截至11月1日，中国大陆地区乙二醇整体开工负荷在67.24%（-0.05%），其中草酸催化加氢法（合成气）制乙二醇开工负荷在62.38%（-1.47%）。下游聚酯开工情况来看，聚酯端负荷整体保持良好，截至11.1 初步核算国内大陆地区聚酯负荷在92.9%附近，尤其是长丝负荷持续较高。聚酯端库存来看，长丝促销效果显著，整体库存节前维持去化。终端开工情况来看，截止11.1 江浙下游加弹、织造、印染负荷分别在93%、82%、86%，整体开工高位维持，坯布库存继续去化，整体织造端出货氛围尚可。综合来看，近期乙二醇国产煤化工装置检修增多，开工下滑叠加需求韧性，预估11供需结构改为偏平衡，短期震荡偏强。</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5537"/>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2989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期价偏强震荡运行</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玉米现货整体表现偏弱，华北产区和南北方港口稳中有跌，东北产区涨跌互现，相对强于其他区域；期价震荡偏强，各合约小幅收涨。对于玉米而言 ，当下市场最大担忧是新作集中上市背景下市场补库对应期现货上涨的持续性，但在我们看来，期价远月升水结构反映市场对当前年度相对乐观的供需预期， 东北产区带动南北方港口现货持续稳中有涨， 表明新作压力最大对应现货价格低点已经出现，接下来在诸如国家增储、小麦上涨及其南方港口内外贸玉米库存 偏低等潜在利 多因素的带动下甚至可能进入补库存阶段，期现货价格有望逐步震荡上行。在这种情况下，我们维持谨慎看多观点，建议投资者持有前期多单。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淀粉现货稳中偏弱，局部地区报价下调10-40元不等，期价震荡偏强，但相对弱于玉米，淀粉-玉米价差继续小幅收窄。对于淀粉而言， 近期 淀粉 玉米价差变动不大，主要源于行业供需和原料成本短期偏空，其中行业供需端因行业库存在前期持续下滑之后出现回升，而原料成本端由于近期华北玉米持续回落，导致华北 东北玉米价差收窄。但由于副产品维持低位，而淀粉基差高企，且盘面加工利润为负，我们倾向于淀粉 玉米价差收窄空间受限。在这种情况下，结合原料玉米判断，我们维持谨慎看多观点，建议单边投资者持有多单，套利投资者继续持有淀粉-玉米价差走扩套利。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1562"/>
      <w:r>
        <w:rPr>
          <w:rFonts w:hint="eastAsia" w:ascii="楷体" w:hAnsi="楷体" w:eastAsia="楷体"/>
          <w:b/>
          <w:bCs/>
          <w:color w:val="000000" w:themeColor="text1"/>
          <w14:textFill>
            <w14:solidFill>
              <w14:schemeClr w14:val="tx1"/>
            </w14:solidFill>
          </w14:textFill>
        </w:rPr>
        <w:t>畜禽养殖：期价震荡运行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涨跌互现，整体偏弱，全国均价下跌0.07元至17.16元/公斤；期价整体震荡分化，近月小幅收涨，远月多小幅收跌。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 3 月合约已经跌至过去两年春节前后低点 14 元 公斤的水平。从供应角度看，农业农村部公布的季度末生猪存栏量虽连续环比增加，但仍处于过去四年来最低水平，而今年 3 季度出栏仅次于去年，这意味着 4 季度供应环比增幅受限，这会抑制猪价下跌空间；而需求则存在较大的不确定性，受宏观经济影响，市场反映今年需求不及往年同期，这会抑制猪价上方空间。考虑到气温的下降， 再 加上季节性因素，生猪需求或有所改善。由此可以看出，当前市场矛盾在于市场预期偏差，我们倾向于市场已经在很大程度上反映悲观预期，期价继续下跌空间或有限，但能否反弹首先需要关注现货价格走势，其次还需要关注饲料原料成本。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多有回落，其中主产区均价下跌0.10元至4.56元/斤，主销区均价下跌0.03元至4.84元/斤；期价窄幅震荡，各合约收盘涨跌互现，整体变动不大。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6520"/>
      <w:r>
        <w:rPr>
          <w:rFonts w:hint="eastAsia" w:ascii="楷体" w:hAnsi="楷体" w:eastAsia="楷体"/>
          <w:b/>
          <w:bCs/>
          <w:color w:val="000000" w:themeColor="text1"/>
          <w14:textFill>
            <w14:solidFill>
              <w14:schemeClr w14:val="tx1"/>
            </w14:solidFill>
          </w14:textFill>
        </w:rPr>
        <w:t>白糖：内外糖价高位区间宽幅震荡整理，短期向下突破可能性较大</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国际糖价温和震荡，ICE原糖11号主力合约下跌0.18%，伦敦白砂糖主力合约上涨0.09%。夜盘郑糖2501主力合约上涨0.09%。据外电11月4日消息，根据阿根廷周一公布官方公告中的两项法令，该国提高了生物柴油和生物乙醇的国内价格，这或将促使更多的甘蔗被用于生产能源。国内，新糖逐渐上市，成本偏低，整体是丰产预期。预计短期高位区间偏弱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3474"/>
      <w:r>
        <w:rPr>
          <w:rFonts w:hint="eastAsia" w:ascii="楷体" w:hAnsi="楷体" w:eastAsia="楷体"/>
          <w:b/>
          <w:bCs/>
          <w:color w:val="000000" w:themeColor="text1"/>
          <w14:textFill>
            <w14:solidFill>
              <w14:schemeClr w14:val="tx1"/>
            </w14:solidFill>
          </w14:textFill>
        </w:rPr>
        <w:t>棉花：预计郑棉围绕1.4关口区间震荡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上涨0.06%。夜盘郑棉2501主力合约下跌0.18%。国内，本年度棉花丰产，产量预计同比增加5%-7%，供应充沛。籽棉收购价相对稳定，集中在6.1-6.4元/公斤区间。轧花厂依然持谨慎态度，风险偏好低。金九银十结束，纺织开机率略有下降，但整体依然处于近几年偏高水平。预计棉花区间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23154"/>
      <w:r>
        <w:rPr>
          <w:rFonts w:hint="eastAsia" w:ascii="楷体" w:hAnsi="楷体" w:eastAsia="楷体"/>
          <w:b/>
          <w:bCs/>
          <w:color w:val="000000" w:themeColor="text1"/>
          <w14:textFill>
            <w14:solidFill>
              <w14:schemeClr w14:val="tx1"/>
            </w14:solidFill>
          </w14:textFill>
        </w:rPr>
        <w:t>苹果：区间偏弱震荡，消化前期涨幅</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本年度新果上市，收购价较往年同期低1元/公斤左右。由于价格合理，且去年囤货商损失惨重，本年度上市初期鲜果低价销售极为顺畅，入库量同比大减。近日现货价格略有上涨，各地涨幅0.2元-0.4元/公斤不等。11月5日时栖霞苹果一、二级纸袋80#的市场价为3.5元/斤，蓬莱区的则为3.7元/斤。由于前期苹果已低位区间震荡近4个月，现货带动期价上行突破后迅速吸引大量资金涌入。但本年度苹果丰产，产量同比增加，质量水平亦可，与往年大减产的牛市情况略有区别。短期内涨幅过大，震荡或者小幅回落以消化前期涨幅，等待回落后低多机会。</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23092"/>
      <w:r>
        <w:rPr>
          <w:rFonts w:hint="eastAsia" w:ascii="楷体" w:hAnsi="楷体" w:eastAsia="楷体"/>
          <w:b/>
          <w:bCs/>
          <w:color w:val="000000" w:themeColor="text1"/>
          <w14:textFill>
            <w14:solidFill>
              <w14:schemeClr w14:val="tx1"/>
            </w14:solidFill>
          </w14:textFill>
        </w:rPr>
        <w:t>蛋白粕：无新的叙事驱动，依旧偏弱</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0.63%，国内夜盘未跟随0.外盘变动，豆二下跌0.08%，豆粕下跌0.10%；菜籽上涨0.18%，菜粕下跌0.04%。美豆收割率预计达95%，为2005年来最快进程。国内市场方面，华北地区陆续有工厂公布减产或者限量开单的消息，削弱了目前豆粕库存偏高带来的供应压力。需求方面，上周豆粕成交较好，现货日成交均量在20万吨左右，但未见大幅增长的情况，库存去化缓慢。同时市场预计11月和12月大豆到港量均在800万吨以上，油厂催提压力也较难缓解。总体而言，粕类偏弱运行态势难以改变。</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5" w:name="_Toc16892"/>
      <w:r>
        <w:rPr>
          <w:rFonts w:hint="eastAsia" w:ascii="楷体" w:hAnsi="楷体" w:eastAsia="楷体"/>
          <w:b/>
          <w:bCs/>
          <w:color w:val="000000" w:themeColor="text1"/>
          <w14:textFill>
            <w14:solidFill>
              <w14:schemeClr w14:val="tx1"/>
            </w14:solidFill>
          </w14:textFill>
        </w:rPr>
        <w:t>油脂类：多头获利离场，期价回落</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0.07%，菜油下跌0.69%，棕榈油下跌0.54%。11月4日SPPOMA公布马棕油10月产量环比下降7.30%，油棕鲜果串单产下滑7.54%，出油率增加0.05%。国内棕油库存同比下跌48.04%。棕油基本面较强，强势突破9700。豆油供给端当前大豆进口压力最大时期逐渐走出，大豆和豆粕的库存压力预计随着压榨短期继续高企而释放。因此豆油供给端短期依旧维持较强预期。菜油因前期进口菜籽当前大量到港，近端在供给冲击下表现相对偏弱。棕榈油因利润倒挂，到港大幅减少，库存持续消耗。</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6" w:name="_Toc18155"/>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8409"/>
      <w:r>
        <w:rPr>
          <w:rFonts w:hint="eastAsia" w:ascii="Times New Roman" w:hAnsi="Times New Roman" w:eastAsia="楷体"/>
          <w:b/>
          <w:color w:val="000000" w:themeColor="text1"/>
          <w:sz w:val="24"/>
          <w:szCs w:val="24"/>
          <w14:textFill>
            <w14:solidFill>
              <w14:schemeClr w14:val="tx1"/>
            </w14:solidFill>
          </w14:textFill>
        </w:rPr>
        <w:t>集运指数（欧线）：11月中下旬提涨，期价反弹</w:t>
      </w:r>
      <w:bookmarkEnd w:id="4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02合约涨8.40%至3071.0。当前现舱40GP线上MSC暂报4040美元，马士基暂报4023美元，较前期略微下降。11月中下旬提涨，40GP报价ONE提涨至5004美元，赫伯罗特提涨至5500美元，OOCL提涨至5550美元。TCI天津-欧洲基本港运价指数环比降0.34%至1189.08。11月1日，上海航运交易所发布的上海出口集装箱综合运价指数为2303.44点，较上期上涨5.4%。11月1日，上海港出口至欧洲基本港市场运价（海运及海运附加费）为2442美元/TEU，较上期上涨9.7%。11月1日，上海港出口至地中海基本港市场运价（海运及海运附加费）为2907美元/TEU，较上期上涨13.8%。关注后续船司提涨能否实质性落地，多空博弈期间留意短期波动加剧风险，期价或宽幅震荡，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2481108"/>
      <w:bookmarkStart w:id="49" w:name="_Toc19667"/>
      <w:bookmarkStart w:id="50" w:name="_Toc71212556"/>
      <w:bookmarkStart w:id="51" w:name="_Toc12779"/>
      <w:bookmarkStart w:id="52" w:name="_Toc98426751"/>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2024年11月6日星期三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AF662C"/>
    <w:rsid w:val="0DB77106"/>
    <w:rsid w:val="0DCE2D64"/>
    <w:rsid w:val="0E20128F"/>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45F7588"/>
    <w:rsid w:val="458C38B3"/>
    <w:rsid w:val="459609D9"/>
    <w:rsid w:val="45A37566"/>
    <w:rsid w:val="45B634E5"/>
    <w:rsid w:val="45CF0A85"/>
    <w:rsid w:val="45F224BA"/>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5C7364"/>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10F0C"/>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2024-11-06T01:59:50Z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