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_Toc29073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_Toc25633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_Toc7457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_Toc22082 </w:instrText>
          </w:r>
          <w:r>
            <w:rPr>
              <w:bCs/>
            </w:rPr>
            <w:fldChar w:fldCharType="separate"/>
          </w:r>
          <w:r>
            <w:rPr>
              <w:rFonts w:hint="eastAsia" w:ascii="Times New Roman" w:hAnsi="Times New Roman" w:eastAsia="楷体"/>
              <w:szCs w:val="24"/>
            </w:rPr>
            <w:t>贵金属：特朗普胜选，贵金属价格下跌</w:t>
          </w:r>
          <w:r>
            <w:rPr>
              <w:bCs/>
            </w:rPr>
            <w:fldChar w:fldCharType="end"/>
          </w:r>
        </w:p>
        <w:p>
          <w:pPr>
            <w:pStyle w:val="59"/>
            <w:tabs>
              <w:tab w:val="right" w:leader="dot" w:pos="8306"/>
            </w:tabs>
          </w:pPr>
          <w:r>
            <w:rPr>
              <w:bCs/>
            </w:rPr>
            <w:fldChar w:fldCharType="begin"/>
          </w:r>
          <w:r>
            <w:rPr>
              <w:bCs/>
            </w:rPr>
            <w:instrText xml:space="preserve"> HYPERLINK \l _Toc31726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_Toc24431 </w:instrText>
          </w:r>
          <w:r>
            <w:rPr>
              <w:bCs/>
            </w:rPr>
            <w:fldChar w:fldCharType="separate"/>
          </w:r>
          <w:r>
            <w:rPr>
              <w:rFonts w:hint="eastAsia" w:ascii="楷体" w:hAnsi="楷体" w:eastAsia="楷体"/>
              <w:szCs w:val="24"/>
            </w:rPr>
            <w:t>碳酸锂：宏观消息面因素扰动，期价小幅下跌</w:t>
          </w:r>
          <w:r>
            <w:rPr>
              <w:bCs/>
            </w:rPr>
            <w:fldChar w:fldCharType="end"/>
          </w:r>
        </w:p>
        <w:p>
          <w:pPr>
            <w:pStyle w:val="74"/>
            <w:tabs>
              <w:tab w:val="right" w:leader="dot" w:pos="8306"/>
            </w:tabs>
          </w:pPr>
          <w:r>
            <w:rPr>
              <w:bCs/>
            </w:rPr>
            <w:fldChar w:fldCharType="begin"/>
          </w:r>
          <w:r>
            <w:rPr>
              <w:bCs/>
            </w:rPr>
            <w:instrText xml:space="preserve"> HYPERLINK \l _Toc8267 </w:instrText>
          </w:r>
          <w:r>
            <w:rPr>
              <w:bCs/>
            </w:rPr>
            <w:fldChar w:fldCharType="separate"/>
          </w:r>
          <w:r>
            <w:rPr>
              <w:rFonts w:hint="eastAsia" w:ascii="楷体" w:hAnsi="楷体" w:eastAsia="楷体"/>
              <w:szCs w:val="24"/>
            </w:rPr>
            <w:t>铝：铝价跟随宏观情绪波动</w:t>
          </w:r>
          <w:r>
            <w:rPr>
              <w:bCs/>
            </w:rPr>
            <w:fldChar w:fldCharType="end"/>
          </w:r>
        </w:p>
        <w:p>
          <w:pPr>
            <w:pStyle w:val="74"/>
            <w:tabs>
              <w:tab w:val="right" w:leader="dot" w:pos="8306"/>
            </w:tabs>
          </w:pPr>
          <w:r>
            <w:rPr>
              <w:bCs/>
            </w:rPr>
            <w:fldChar w:fldCharType="begin"/>
          </w:r>
          <w:r>
            <w:rPr>
              <w:bCs/>
            </w:rPr>
            <w:instrText xml:space="preserve"> HYPERLINK \l _Toc8394 </w:instrText>
          </w:r>
          <w:r>
            <w:rPr>
              <w:bCs/>
            </w:rPr>
            <w:fldChar w:fldCharType="separate"/>
          </w:r>
          <w:r>
            <w:rPr>
              <w:rFonts w:hint="eastAsia" w:ascii="楷体" w:hAnsi="楷体" w:eastAsia="楷体"/>
              <w:szCs w:val="24"/>
            </w:rPr>
            <w:t>锌：区间震荡</w:t>
          </w:r>
          <w:r>
            <w:rPr>
              <w:bCs/>
            </w:rPr>
            <w:fldChar w:fldCharType="end"/>
          </w:r>
        </w:p>
        <w:p>
          <w:pPr>
            <w:pStyle w:val="74"/>
            <w:tabs>
              <w:tab w:val="right" w:leader="dot" w:pos="8306"/>
            </w:tabs>
          </w:pPr>
          <w:r>
            <w:rPr>
              <w:bCs/>
            </w:rPr>
            <w:fldChar w:fldCharType="begin"/>
          </w:r>
          <w:r>
            <w:rPr>
              <w:bCs/>
            </w:rPr>
            <w:instrText xml:space="preserve"> HYPERLINK \l _Toc1673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：情绪偏空带来短期回调</w:t>
          </w:r>
          <w:r>
            <w:rPr>
              <w:bCs/>
            </w:rPr>
            <w:fldChar w:fldCharType="end"/>
          </w:r>
        </w:p>
        <w:p>
          <w:pPr>
            <w:pStyle w:val="74"/>
            <w:tabs>
              <w:tab w:val="right" w:leader="dot" w:pos="8306"/>
            </w:tabs>
          </w:pPr>
          <w:r>
            <w:rPr>
              <w:bCs/>
            </w:rPr>
            <w:fldChar w:fldCharType="begin"/>
          </w:r>
          <w:r>
            <w:rPr>
              <w:bCs/>
            </w:rPr>
            <w:instrText xml:space="preserve"> HYPERLINK \l _Toc20040 </w:instrText>
          </w:r>
          <w:r>
            <w:rPr>
              <w:bCs/>
            </w:rPr>
            <w:fldChar w:fldCharType="separate"/>
          </w:r>
          <w:r>
            <w:rPr>
              <w:rFonts w:hint="eastAsia" w:ascii="楷体" w:hAnsi="楷体" w:eastAsia="楷体"/>
              <w:szCs w:val="24"/>
            </w:rPr>
            <w:t>镍：短期镍价跟随宏观震荡</w:t>
          </w:r>
          <w:r>
            <w:rPr>
              <w:bCs/>
            </w:rPr>
            <w:fldChar w:fldCharType="end"/>
          </w:r>
        </w:p>
        <w:p>
          <w:pPr>
            <w:pStyle w:val="74"/>
            <w:tabs>
              <w:tab w:val="right" w:leader="dot" w:pos="8306"/>
            </w:tabs>
          </w:pPr>
          <w:r>
            <w:rPr>
              <w:bCs/>
            </w:rPr>
            <w:fldChar w:fldCharType="begin"/>
          </w:r>
          <w:r>
            <w:rPr>
              <w:bCs/>
            </w:rPr>
            <w:instrText xml:space="preserve"> HYPERLINK \l _Toc16391 </w:instrText>
          </w:r>
          <w:r>
            <w:rPr>
              <w:bCs/>
            </w:rPr>
            <w:fldChar w:fldCharType="separate"/>
          </w:r>
          <w:r>
            <w:rPr>
              <w:rFonts w:hint="eastAsia" w:ascii="楷体" w:hAnsi="楷体" w:eastAsia="楷体"/>
              <w:szCs w:val="24"/>
            </w:rPr>
            <w:t>锡：高位震荡</w:t>
          </w:r>
          <w:r>
            <w:rPr>
              <w:bCs/>
            </w:rPr>
            <w:fldChar w:fldCharType="end"/>
          </w:r>
        </w:p>
        <w:p>
          <w:pPr>
            <w:pStyle w:val="74"/>
            <w:tabs>
              <w:tab w:val="right" w:leader="dot" w:pos="8306"/>
            </w:tabs>
          </w:pPr>
          <w:r>
            <w:rPr>
              <w:bCs/>
            </w:rPr>
            <w:fldChar w:fldCharType="begin"/>
          </w:r>
          <w:r>
            <w:rPr>
              <w:bCs/>
            </w:rPr>
            <w:instrText xml:space="preserve"> HYPERLINK \l _Toc13319 </w:instrText>
          </w:r>
          <w:r>
            <w:rPr>
              <w:bCs/>
            </w:rPr>
            <w:fldChar w:fldCharType="separate"/>
          </w:r>
          <w:r>
            <w:rPr>
              <w:rFonts w:hint="eastAsia" w:ascii="楷体" w:hAnsi="楷体" w:eastAsia="楷体"/>
              <w:szCs w:val="24"/>
            </w:rPr>
            <w:t>铅：再生铅减产，但需求走弱制约铅价</w:t>
          </w:r>
          <w:r>
            <w:rPr>
              <w:bCs/>
            </w:rPr>
            <w:fldChar w:fldCharType="end"/>
          </w:r>
        </w:p>
        <w:p>
          <w:pPr>
            <w:pStyle w:val="74"/>
            <w:tabs>
              <w:tab w:val="right" w:leader="dot" w:pos="8306"/>
            </w:tabs>
          </w:pPr>
          <w:r>
            <w:rPr>
              <w:bCs/>
            </w:rPr>
            <w:fldChar w:fldCharType="begin"/>
          </w:r>
          <w:r>
            <w:rPr>
              <w:bCs/>
            </w:rPr>
            <w:instrText xml:space="preserve"> HYPERLINK \l _Toc20415 </w:instrText>
          </w:r>
          <w:r>
            <w:rPr>
              <w:bCs/>
            </w:rPr>
            <w:fldChar w:fldCharType="separate"/>
          </w:r>
          <w:r>
            <w:rPr>
              <w:rFonts w:hint="eastAsia" w:ascii="楷体" w:hAnsi="楷体" w:eastAsia="楷体"/>
              <w:szCs w:val="24"/>
            </w:rPr>
            <w:t>不锈钢：期价承压运行</w:t>
          </w:r>
          <w:r>
            <w:rPr>
              <w:bCs/>
            </w:rPr>
            <w:fldChar w:fldCharType="end"/>
          </w:r>
        </w:p>
        <w:p>
          <w:pPr>
            <w:pStyle w:val="74"/>
            <w:tabs>
              <w:tab w:val="right" w:leader="dot" w:pos="8306"/>
            </w:tabs>
          </w:pPr>
          <w:r>
            <w:rPr>
              <w:bCs/>
            </w:rPr>
            <w:fldChar w:fldCharType="begin"/>
          </w:r>
          <w:r>
            <w:rPr>
              <w:bCs/>
            </w:rPr>
            <w:instrText xml:space="preserve"> HYPERLINK \l _Toc23334 </w:instrText>
          </w:r>
          <w:r>
            <w:rPr>
              <w:bCs/>
            </w:rPr>
            <w:fldChar w:fldCharType="separate"/>
          </w:r>
          <w:r>
            <w:rPr>
              <w:rFonts w:hint="eastAsia" w:ascii="楷体" w:hAnsi="楷体" w:eastAsia="楷体"/>
              <w:szCs w:val="24"/>
            </w:rPr>
            <w:t>工业硅：供需双弱格局，基本面改善有限</w:t>
          </w:r>
          <w:r>
            <w:rPr>
              <w:bCs/>
            </w:rPr>
            <w:fldChar w:fldCharType="end"/>
          </w:r>
        </w:p>
        <w:p>
          <w:pPr>
            <w:pStyle w:val="74"/>
            <w:tabs>
              <w:tab w:val="right" w:leader="dot" w:pos="8306"/>
            </w:tabs>
          </w:pPr>
          <w:r>
            <w:rPr>
              <w:bCs/>
            </w:rPr>
            <w:fldChar w:fldCharType="begin"/>
          </w:r>
          <w:r>
            <w:rPr>
              <w:bCs/>
            </w:rPr>
            <w:instrText xml:space="preserve"> HYPERLINK \l _Toc3124 </w:instrText>
          </w:r>
          <w:r>
            <w:rPr>
              <w:bCs/>
            </w:rPr>
            <w:fldChar w:fldCharType="separate"/>
          </w:r>
          <w:r>
            <w:rPr>
              <w:rFonts w:hint="eastAsia" w:ascii="楷体" w:hAnsi="楷体" w:eastAsia="楷体"/>
              <w:szCs w:val="24"/>
            </w:rPr>
            <w:t>螺纹钢：基本面偏弱，后续关注政策发力情况</w:t>
          </w:r>
          <w:r>
            <w:rPr>
              <w:bCs/>
            </w:rPr>
            <w:fldChar w:fldCharType="end"/>
          </w:r>
        </w:p>
        <w:p>
          <w:pPr>
            <w:pStyle w:val="59"/>
            <w:tabs>
              <w:tab w:val="right" w:leader="dot" w:pos="8306"/>
            </w:tabs>
          </w:pPr>
          <w:r>
            <w:rPr>
              <w:bCs/>
            </w:rPr>
            <w:fldChar w:fldCharType="begin"/>
          </w:r>
          <w:r>
            <w:rPr>
              <w:bCs/>
            </w:rPr>
            <w:instrText xml:space="preserve"> HYPERLINK \l _Toc29296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_Toc14838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泰南地区降水明显增多 天胶成本支撑企稳</w:t>
          </w:r>
          <w:r>
            <w:rPr>
              <w:bCs/>
            </w:rPr>
            <w:fldChar w:fldCharType="end"/>
          </w:r>
        </w:p>
        <w:p>
          <w:pPr>
            <w:pStyle w:val="74"/>
            <w:tabs>
              <w:tab w:val="right" w:leader="dot" w:pos="8306"/>
            </w:tabs>
          </w:pPr>
          <w:r>
            <w:rPr>
              <w:bCs/>
            </w:rPr>
            <w:fldChar w:fldCharType="begin"/>
          </w:r>
          <w:r>
            <w:rPr>
              <w:bCs/>
            </w:rPr>
            <w:instrText xml:space="preserve"> HYPERLINK \l _Toc355 </w:instrText>
          </w:r>
          <w:r>
            <w:rPr>
              <w:bCs/>
            </w:rPr>
            <w:fldChar w:fldCharType="separate"/>
          </w:r>
          <w:r>
            <w:rPr>
              <w:rFonts w:hint="eastAsia" w:ascii="Times New Roman" w:hAnsi="Times New Roman" w:eastAsia="楷体"/>
              <w:szCs w:val="24"/>
            </w:rPr>
            <w:t>聚烯烃：聚烯烃随原油波动为主</w:t>
          </w:r>
          <w:r>
            <w:rPr>
              <w:bCs/>
            </w:rPr>
            <w:fldChar w:fldCharType="end"/>
          </w:r>
        </w:p>
        <w:p>
          <w:pPr>
            <w:pStyle w:val="74"/>
            <w:tabs>
              <w:tab w:val="right" w:leader="dot" w:pos="8306"/>
            </w:tabs>
          </w:pPr>
          <w:r>
            <w:rPr>
              <w:bCs/>
            </w:rPr>
            <w:fldChar w:fldCharType="begin"/>
          </w:r>
          <w:r>
            <w:rPr>
              <w:bCs/>
            </w:rPr>
            <w:instrText xml:space="preserve"> HYPERLINK \l _Toc27410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_Toc24655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_Toc21285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_Toc1708 </w:instrText>
          </w:r>
          <w:r>
            <w:rPr>
              <w:bCs/>
            </w:rPr>
            <w:fldChar w:fldCharType="separate"/>
          </w:r>
          <w:r>
            <w:rPr>
              <w:rFonts w:hint="eastAsia" w:ascii="Times New Roman" w:hAnsi="Times New Roman" w:eastAsia="楷体"/>
              <w:szCs w:val="24"/>
            </w:rPr>
            <w:t>PTA：跟随宏观及成本端波动</w:t>
          </w:r>
          <w:r>
            <w:rPr>
              <w:bCs/>
            </w:rPr>
            <w:fldChar w:fldCharType="end"/>
          </w:r>
        </w:p>
        <w:p>
          <w:pPr>
            <w:pStyle w:val="74"/>
            <w:tabs>
              <w:tab w:val="right" w:leader="dot" w:pos="8306"/>
            </w:tabs>
          </w:pPr>
          <w:r>
            <w:rPr>
              <w:bCs/>
            </w:rPr>
            <w:fldChar w:fldCharType="begin"/>
          </w:r>
          <w:r>
            <w:rPr>
              <w:bCs/>
            </w:rPr>
            <w:instrText xml:space="preserve"> HYPERLINK \l _Toc31983 </w:instrText>
          </w:r>
          <w:r>
            <w:rPr>
              <w:bCs/>
            </w:rPr>
            <w:fldChar w:fldCharType="separate"/>
          </w:r>
          <w:r>
            <w:rPr>
              <w:rFonts w:hint="eastAsia" w:ascii="Times New Roman" w:hAnsi="Times New Roman" w:eastAsia="楷体"/>
              <w:szCs w:val="24"/>
            </w:rPr>
            <w:t>乙二醇：开工下滑及下游改善 震荡偏强</w:t>
          </w:r>
          <w:r>
            <w:rPr>
              <w:bCs/>
            </w:rPr>
            <w:fldChar w:fldCharType="end"/>
          </w:r>
        </w:p>
        <w:p>
          <w:pPr>
            <w:pStyle w:val="59"/>
            <w:tabs>
              <w:tab w:val="right" w:leader="dot" w:pos="8306"/>
            </w:tabs>
          </w:pPr>
          <w:r>
            <w:rPr>
              <w:bCs/>
            </w:rPr>
            <w:fldChar w:fldCharType="begin"/>
          </w:r>
          <w:r>
            <w:rPr>
              <w:bCs/>
            </w:rPr>
            <w:instrText xml:space="preserve"> HYPERLINK \l _Toc2257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_Toc30104 </w:instrText>
          </w:r>
          <w:r>
            <w:rPr>
              <w:bCs/>
            </w:rPr>
            <w:fldChar w:fldCharType="separate"/>
          </w:r>
          <w:r>
            <w:rPr>
              <w:rFonts w:hint="eastAsia" w:ascii="楷体" w:hAnsi="楷体" w:eastAsia="楷体"/>
              <w:bCs/>
            </w:rPr>
            <w:t>玉米与淀粉：</w:t>
          </w:r>
          <w:r>
            <w:rPr>
              <w:rFonts w:hint="eastAsia" w:ascii="楷体" w:hAnsi="楷体" w:eastAsia="楷体"/>
            </w:rPr>
            <w:t>淀粉-玉米价差继续收窄</w:t>
          </w:r>
          <w:r>
            <w:rPr>
              <w:bCs/>
            </w:rPr>
            <w:fldChar w:fldCharType="end"/>
          </w:r>
        </w:p>
        <w:p>
          <w:pPr>
            <w:pStyle w:val="74"/>
            <w:tabs>
              <w:tab w:val="right" w:leader="dot" w:pos="8306"/>
            </w:tabs>
          </w:pPr>
          <w:r>
            <w:rPr>
              <w:bCs/>
            </w:rPr>
            <w:fldChar w:fldCharType="begin"/>
          </w:r>
          <w:r>
            <w:rPr>
              <w:bCs/>
            </w:rPr>
            <w:instrText xml:space="preserve"> HYPERLINK \l _Toc10419 </w:instrText>
          </w:r>
          <w:r>
            <w:rPr>
              <w:bCs/>
            </w:rPr>
            <w:fldChar w:fldCharType="separate"/>
          </w:r>
          <w:r>
            <w:rPr>
              <w:rFonts w:hint="eastAsia" w:ascii="楷体" w:hAnsi="楷体" w:eastAsia="楷体"/>
              <w:bCs/>
            </w:rPr>
            <w:t>畜禽养殖：期价多有回落</w:t>
          </w:r>
          <w:r>
            <w:rPr>
              <w:bCs/>
            </w:rPr>
            <w:fldChar w:fldCharType="end"/>
          </w:r>
        </w:p>
        <w:p>
          <w:pPr>
            <w:pStyle w:val="74"/>
            <w:tabs>
              <w:tab w:val="right" w:leader="dot" w:pos="8306"/>
            </w:tabs>
          </w:pPr>
          <w:r>
            <w:rPr>
              <w:bCs/>
            </w:rPr>
            <w:fldChar w:fldCharType="begin"/>
          </w:r>
          <w:r>
            <w:rPr>
              <w:bCs/>
            </w:rPr>
            <w:instrText xml:space="preserve"> HYPERLINK \l _Toc25348 </w:instrText>
          </w:r>
          <w:r>
            <w:rPr>
              <w:bCs/>
            </w:rPr>
            <w:fldChar w:fldCharType="separate"/>
          </w:r>
          <w:r>
            <w:rPr>
              <w:rFonts w:hint="eastAsia" w:ascii="楷体" w:hAnsi="楷体" w:eastAsia="楷体"/>
              <w:bCs/>
            </w:rPr>
            <w:t>白糖：内外糖价高位区间宽幅震荡整理，短期向下突破可能性较大</w:t>
          </w:r>
          <w:r>
            <w:rPr>
              <w:bCs/>
            </w:rPr>
            <w:fldChar w:fldCharType="end"/>
          </w:r>
        </w:p>
        <w:p>
          <w:pPr>
            <w:pStyle w:val="74"/>
            <w:tabs>
              <w:tab w:val="right" w:leader="dot" w:pos="8306"/>
            </w:tabs>
          </w:pPr>
          <w:r>
            <w:rPr>
              <w:bCs/>
            </w:rPr>
            <w:fldChar w:fldCharType="begin"/>
          </w:r>
          <w:r>
            <w:rPr>
              <w:bCs/>
            </w:rPr>
            <w:instrText xml:space="preserve"> HYPERLINK \l _Toc14681 </w:instrText>
          </w:r>
          <w:r>
            <w:rPr>
              <w:bCs/>
            </w:rPr>
            <w:fldChar w:fldCharType="separate"/>
          </w:r>
          <w:r>
            <w:rPr>
              <w:rFonts w:hint="eastAsia" w:ascii="楷体" w:hAnsi="楷体" w:eastAsia="楷体"/>
              <w:bCs/>
            </w:rPr>
            <w:t>棉花：</w:t>
          </w:r>
          <w:r>
            <w:rPr>
              <w:rFonts w:hint="eastAsia" w:ascii="楷体" w:hAnsi="楷体" w:eastAsia="楷体"/>
              <w:bCs/>
              <w:lang w:val="en-US" w:eastAsia="zh-CN"/>
            </w:rPr>
            <w:t>预计郑棉震荡偏弱</w:t>
          </w:r>
          <w:r>
            <w:rPr>
              <w:bCs/>
            </w:rPr>
            <w:fldChar w:fldCharType="end"/>
          </w:r>
        </w:p>
        <w:p>
          <w:pPr>
            <w:pStyle w:val="74"/>
            <w:tabs>
              <w:tab w:val="right" w:leader="dot" w:pos="8306"/>
            </w:tabs>
          </w:pPr>
          <w:r>
            <w:rPr>
              <w:bCs/>
            </w:rPr>
            <w:fldChar w:fldCharType="begin"/>
          </w:r>
          <w:r>
            <w:rPr>
              <w:bCs/>
            </w:rPr>
            <w:instrText xml:space="preserve"> HYPERLINK \l _Toc26093 </w:instrText>
          </w:r>
          <w:r>
            <w:rPr>
              <w:bCs/>
            </w:rPr>
            <w:fldChar w:fldCharType="separate"/>
          </w:r>
          <w:r>
            <w:rPr>
              <w:rFonts w:hint="eastAsia" w:ascii="楷体" w:hAnsi="楷体" w:eastAsia="楷体"/>
              <w:bCs/>
            </w:rPr>
            <w:t>苹果：区间震荡，消化前期涨幅</w:t>
          </w:r>
          <w:r>
            <w:rPr>
              <w:bCs/>
            </w:rPr>
            <w:fldChar w:fldCharType="end"/>
          </w:r>
        </w:p>
        <w:p>
          <w:pPr>
            <w:pStyle w:val="74"/>
            <w:tabs>
              <w:tab w:val="right" w:leader="dot" w:pos="8306"/>
            </w:tabs>
          </w:pPr>
          <w:r>
            <w:rPr>
              <w:bCs/>
            </w:rPr>
            <w:fldChar w:fldCharType="begin"/>
          </w:r>
          <w:r>
            <w:rPr>
              <w:bCs/>
            </w:rPr>
            <w:instrText xml:space="preserve"> HYPERLINK \l _Toc21284 </w:instrText>
          </w:r>
          <w:r>
            <w:rPr>
              <w:bCs/>
            </w:rPr>
            <w:fldChar w:fldCharType="separate"/>
          </w:r>
          <w:r>
            <w:rPr>
              <w:rFonts w:hint="eastAsia" w:ascii="楷体" w:hAnsi="楷体" w:eastAsia="楷体"/>
              <w:bCs/>
            </w:rPr>
            <w:t>蛋白粕：美国大选结果落定，市场担忧供应前景</w:t>
          </w:r>
          <w:r>
            <w:rPr>
              <w:bCs/>
            </w:rPr>
            <w:fldChar w:fldCharType="end"/>
          </w:r>
        </w:p>
        <w:p>
          <w:pPr>
            <w:pStyle w:val="74"/>
            <w:tabs>
              <w:tab w:val="right" w:leader="dot" w:pos="8306"/>
            </w:tabs>
          </w:pPr>
          <w:r>
            <w:rPr>
              <w:bCs/>
            </w:rPr>
            <w:fldChar w:fldCharType="begin"/>
          </w:r>
          <w:r>
            <w:rPr>
              <w:bCs/>
            </w:rPr>
            <w:instrText xml:space="preserve"> HYPERLINK \l _Toc28058 </w:instrText>
          </w:r>
          <w:r>
            <w:rPr>
              <w:bCs/>
            </w:rPr>
            <w:fldChar w:fldCharType="separate"/>
          </w:r>
          <w:r>
            <w:rPr>
              <w:rFonts w:hint="eastAsia" w:ascii="楷体" w:hAnsi="楷体" w:eastAsia="楷体"/>
              <w:bCs/>
            </w:rPr>
            <w:t>油脂类：印度需求激增，支撑棕油价格向上突破</w:t>
          </w:r>
          <w:r>
            <w:rPr>
              <w:bCs/>
            </w:rPr>
            <w:fldChar w:fldCharType="end"/>
          </w:r>
        </w:p>
        <w:p>
          <w:pPr>
            <w:pStyle w:val="59"/>
            <w:tabs>
              <w:tab w:val="right" w:leader="dot" w:pos="8306"/>
            </w:tabs>
          </w:pPr>
          <w:r>
            <w:rPr>
              <w:bCs/>
            </w:rPr>
            <w:fldChar w:fldCharType="begin"/>
          </w:r>
          <w:r>
            <w:rPr>
              <w:bCs/>
            </w:rPr>
            <w:instrText xml:space="preserve"> HYPERLINK \l _Toc1818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_Toc4707 </w:instrText>
          </w:r>
          <w:r>
            <w:rPr>
              <w:bCs/>
            </w:rPr>
            <w:fldChar w:fldCharType="separate"/>
          </w:r>
          <w:r>
            <w:rPr>
              <w:rFonts w:hint="eastAsia" w:ascii="Times New Roman" w:hAnsi="Times New Roman" w:eastAsia="楷体"/>
              <w:szCs w:val="24"/>
            </w:rPr>
            <w:t>集运指数（欧线）：部分船司继续提涨，主力期价微涨</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9073"/>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5633"/>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特朗普胜选从中期层面将影响A股的盈利预期和风险偏好，短期影响市场已进行较为充分推演，而市场继续走强需要外生刺激，如政策强刺激验证或中短期基本面改善可持续的线索，各指数尤其是以中证1000为代表的中小盘成长风格接近10月8日的前高，交易博弈难度和潜在风险增加，可待市场回归后再行低位布局IF及IM。</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7457"/>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2082"/>
      <w:r>
        <w:rPr>
          <w:rFonts w:hint="eastAsia" w:ascii="Times New Roman" w:hAnsi="Times New Roman" w:eastAsia="楷体"/>
          <w:b/>
          <w:color w:val="000000" w:themeColor="text1"/>
          <w:sz w:val="24"/>
          <w:szCs w:val="24"/>
          <w14:textFill>
            <w14:solidFill>
              <w14:schemeClr w14:val="tx1"/>
            </w14:solidFill>
          </w14:textFill>
        </w:rPr>
        <w:t>贵金属：特朗普胜选，贵金属价格下跌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跌1.96%至614.70元/克，沪银跌3.25%至7702元/千克。央视新闻报道，当地时间6日凌晨，美国共和党总统候选人、前总统特朗普在佛罗里达州棕榈滩会议中心发表讲话，宣布在2024年总统选举中获胜；根据《国会山报》等多家美国媒体最新公布的测算，美国共和党总统候选人特朗普已收获超半数的选举人票，预计将锁定本次美国总统选举胜局。市场预期特朗普后续政策可能降低美国企业税率、对外提升关税，收紧移民政策、驱逐非法移民，支持传统能源发展，因此可能导致美国国内劳动力成本上升，减税等政策可能将减少政府收入，并使得美国债务水平及赤字率进一步上升，推动通胀上行。虽然短期内贵金属价格由于大选结果出炉后市场不确定性下降、避险情绪降温，以及美元指数走强而有所承压，短线下跌，但中长期而言，回调带来介入机会，“特朗普交易”靴子落地，考虑到特朗普后续政策可能刺激通胀反弹，国际地缘冲突局势暂未明朗，贵金属价格或偏强运行，仍有上行空间。</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_Toc20891"/>
      <w:bookmarkStart w:id="12" w:name="金属"/>
      <w:bookmarkStart w:id="13" w:name="_Toc31726"/>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4431"/>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碳酸锂：宏观消息面因素扰动，期价小幅下跌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消息面因素影响叠加部分资金获利了结，01合约收跌2.19%至75900元/吨。11月6日交割配对2821手，11月累计配对16232手；11月6日交割2818手，11月累计交割10414手。11月6日，工信部对新型储能制造业高质量发展行动方案（征求意见稿）公开征求意见；意见稿提出，加大对国内锂、钴、镍等矿产资源的找矿支持力度，科学有序投放矿业权，增强国内资源保障能力；指导国内企业多元、有序、协同布局海外资源项目，降低资源开发运输成本。央视新闻报道，当地时间6日凌晨，美国共和党总统候选人、前总统特朗普在佛罗里达州棕榈滩会议中心发表讲话，宣布在2024年总统选举中获胜。特朗普政策或更倾向于支持传统能源产业，消息面因素上对于新能源板块略微利空。后续留意海外企业三季报披露情况，此前报告显示海外矿山季度产量表现分化，低成本矿山Greenbushes三季度产量环比增长，其余部分矿山产量环比略微下降。下游排产略好于预期，后续留意终端销量表现，期价或区间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8267"/>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铝价跟随宏观情绪波动</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特朗普竞选成功，美元指数再度强势，华对美贸易出口关税预计增长，对外出口预期走弱，有色价格整体承压。基本面上看，国内铝土矿供应压力或逐步在几内亚进口矿量抬升的节奏中逐步缓解，持续关注进口矿量变化情况，氧化铝价格高位，电解铝厂氧化铝原料库存低位，反映现货市场流通货源紧张，氧化铝虽有冗余产能但受矿紧限制投产难增，氧化铝-电解铝供需目前维持紧平衡状态，下游电解铝开产高位，预计年内产能可达4400万吨，云南枯水期不减产，电解铝供应高位并保持相对稳定，铝棒、铝锭库存持续去库。近期铝价或跟随宏观情绪波动，基本面上看仍为供应有封顶，未来需求有乐观改善预期，波动区间参考20000-21500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8394"/>
      <w:r>
        <w:rPr>
          <w:rFonts w:hint="eastAsia" w:ascii="楷体" w:hAnsi="楷体" w:eastAsia="楷体"/>
          <w:b/>
          <w:color w:val="000000" w:themeColor="text1"/>
          <w:sz w:val="24"/>
          <w:szCs w:val="24"/>
          <w14:textFill>
            <w14:solidFill>
              <w14:schemeClr w14:val="tx1"/>
            </w14:solidFill>
          </w14:textFill>
        </w:rPr>
        <w:t>锌：区间震荡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大选结果公布，特朗普当选刺激美元指数走强，市场对后续美联储降息频次预期发生悲观调整，有色板块整体承压。14家锌企再聚会议表示挺价加工费，供应端仍有可能技改减产。矿端供应维持紧张格局，北方矿山面临季节性减产，进入冬季下游有冬储需求，预计TC加工费保持低位提增有限，精炼锌产量略有抬升，部分厂家因冶炼利润亏损有减产观望预期，下游企业开工率有小幅改善，海外库存累增，国内库存保持低位，需求旺季不旺，进入淡季持续观望需求变化情况。矿紧传导的供应边际收缩对锌价形成较强支撑，现实需求表现较弱，后续关注宏观情绪叠加需求改善情况，锌价高位区间窄幅震荡，波动参考区间24000-25500，中长维持多配观点。</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673"/>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：情绪偏空带来短期回调</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(1)宏观：中国物流与采购联合会6日发布数据，2024年10月份，全球制造业采购经理指数(PMI)为48.8%，与上月持平，连续4个月徘徊在49%附近。</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(2)库存：11月6日，SHFE仓单库存45867吨，减1530吨；LME仓单库存272550吨，减425吨。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(3)精废价差：11月6日，Mysteel精废价差1591，扩张100。目前价差在合理价差1476之上。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 美国特朗普当选，让市场对美国联邦政府扩大财政赤字的风险，以及减税、关税政策引发通胀抬升感到担忧，投资者削减对美联储明年降息的押注，摩根大通预计美联储将从2025年3月开始一个季度仅仅降息一次，短期美元指数大涨，情绪上对整体有色形成利空，但中期而言，特朗普上台刺激通胀回升过程中也会给铜带来反弹驱动。基本面，国内库存去化，现货升水小幅走强，铜精矿TC小幅上涨，但由于现货散单TC持续偏低，明年长单的确定或存在较大分歧，而倘着长时间的低加工费可能会令冶炼厂存在减产压力。整体而言，短期情绪偏空压制价格回调，但预计空间不大，参考7.5-7.8万，关注明早美联储议息会议。</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0040"/>
      <w:r>
        <w:rPr>
          <w:rFonts w:hint="eastAsia" w:ascii="楷体" w:hAnsi="楷体" w:eastAsia="楷体"/>
          <w:b/>
          <w:color w:val="000000" w:themeColor="text1"/>
          <w:sz w:val="24"/>
          <w:szCs w:val="24"/>
          <w14:textFill>
            <w14:solidFill>
              <w14:schemeClr w14:val="tx1"/>
            </w14:solidFill>
          </w14:textFill>
        </w:rPr>
        <w:t>镍：短期镍价跟随宏观震荡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大选由特朗普获胜，关注人大会议的财政政策力度。镍矿方面，矿端价格支撑有走弱迹象，印尼中高品味镍矿内贸升水从10月的22美元/湿吨下调至11月的17美元/湿吨。供需方面，精炼镍基本面未有明显变化，延续过剩格局。综合而言，宏观不确定性或为镍价增加弹性，但基本面延续过剩格局，LME累库明显，矿端支撑存在减弱预期，镍价上方空间始终有限，短期镍价运行区间参考120000-132000元/吨。</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6391"/>
      <w:r>
        <w:rPr>
          <w:rFonts w:hint="eastAsia" w:ascii="楷体" w:hAnsi="楷体" w:eastAsia="楷体"/>
          <w:b/>
          <w:color w:val="000000" w:themeColor="text1"/>
          <w:sz w:val="24"/>
          <w:szCs w:val="24"/>
          <w14:textFill>
            <w14:solidFill>
              <w14:schemeClr w14:val="tx1"/>
            </w14:solidFill>
          </w14:textFill>
        </w:rPr>
        <w:t>锡：高位震荡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缅甸锡矿目前并未有明确复产消息，锡矿供应仍保持偏紧态势，加工费维持低位运行，10月随着国内大型炼厂检修结束，云南、江西锡锭开工率恢复至正常水平。下游需求相对平稳，上周锡锭社会库存减214吨至9781吨。短期市场关注周内美国大选及国内重要会议，预计价格维持区间震荡运行，参考26-26.5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3319"/>
      <w:r>
        <w:rPr>
          <w:rFonts w:hint="eastAsia" w:ascii="楷体" w:hAnsi="楷体" w:eastAsia="楷体"/>
          <w:b/>
          <w:color w:val="000000" w:themeColor="text1"/>
          <w:sz w:val="24"/>
          <w:szCs w:val="24"/>
          <w14:textFill>
            <w14:solidFill>
              <w14:schemeClr w14:val="tx1"/>
            </w14:solidFill>
          </w14:textFill>
        </w:rPr>
        <w:t>铅：再生铅减产，但需求走弱制约铅价</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方面，我国再生铅主产区安徽的环保督察将持续至11月底，且安徽部分地区发布重污染天气预警，再生铅供应或有明显下降。需求方面，下游补库以刚需为主，终端消费已逐渐步入传统淡季，铅蓄电池成品库存继续增加。库存方面，截止11月4日，全国主要市场铅锭社会库存为6.75万吨，较10月31日减少0.14万吨，较10月28日减少0.32万吨。综合而言，环保督察及重污染天气对再生铅供应造成影响，但同时需求趋弱也对铅价带来制约，预计铅价上方空间有限，关注再生铅减产力度。</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0415"/>
      <w:r>
        <w:rPr>
          <w:rFonts w:hint="eastAsia" w:ascii="楷体" w:hAnsi="楷体" w:eastAsia="楷体"/>
          <w:b/>
          <w:color w:val="000000" w:themeColor="text1"/>
          <w:sz w:val="24"/>
          <w:szCs w:val="24"/>
          <w14:textFill>
            <w14:solidFill>
              <w14:schemeClr w14:val="tx1"/>
            </w14:solidFill>
          </w14:textFill>
        </w:rPr>
        <w:t>不锈钢：期价承压运行</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随着印尼镍矿审批配额释放，矿端价格支撑已有走弱迹象，11月印尼中高品味镍矿内贸升水下调至17美元/湿吨，但印尼政府把控下，未来镍矿回调节奏仍需观察。镍铁方面，镍铁厂家挺价，为不锈钢提供较强成本支撑，但鉴于不锈钢需求弱势及矿端支撑回落预期，后市镍铁价格存在小幅下调空间。供应方面，11月不锈钢粗钢排产329.6万吨，月环比增加1%。需求方面，金九银十传统旺季基本落空，房地产等宏观利好政策对不锈钢需求改善作用仍需要时间等待。社会库存方面，上周不锈钢89仓库口径社会库存100.11万吨，环比下降2.89%；截至11月6日，不锈钢期货库存10.89万吨，处于近年高位水平。综合而言，镍铁价格暂坚挺，为不锈钢价格提供底部支撑，但供应维持高位而淡季需求难见明显起色，加上矿端支撑回落预期和仓单库存高位压力，不锈钢期价承压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2333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供需双弱格局，基本面改善有限</w:t>
      </w:r>
      <w:bookmarkEnd w:id="27"/>
    </w:p>
    <w:p>
      <w:pPr>
        <w:ind w:left="630" w:leftChars="300"/>
        <w:rPr>
          <w:rFonts w:ascii="楷体" w:hAnsi="楷体" w:eastAsia="楷体"/>
          <w:sz w:val="24"/>
          <w:szCs w:val="24"/>
        </w:rPr>
      </w:pPr>
      <w:r>
        <w:rPr>
          <w:rFonts w:hint="eastAsia" w:ascii="楷体" w:hAnsi="楷体" w:eastAsia="楷体"/>
          <w:sz w:val="24"/>
          <w:szCs w:val="24"/>
        </w:rPr>
        <w:t>11月6日，Si2412主力合约延续下行走势，收盘价12555元/吨，较上一收盘价涨跌幅-1.26%。供应端，西南正式进入枯水期，供应压力将边际改善，但由于北方存在新增产能投放预期;需求端，核心需求多晶硅，行业检修仍在持续，预计11月份多晶硅将下降约5%产量，同时有机硅、铝合金进入需求淡季。综合而言，行业整体呈供需双弱格局，基本面改善有限，同时月底仓单集中注销后将流回现货市场，对反弹仍有压制。美国大选确定后，国内重要会议尚未结束，政策仍有不确定性，市场存在大幅波动可能性，盘面以宽幅震荡对待，Si2412合约参考区间（12500，13400）。策略上，恢复波段操作思路。</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3124"/>
      <w:r>
        <w:rPr>
          <w:rFonts w:hint="eastAsia" w:ascii="楷体" w:hAnsi="楷体" w:eastAsia="楷体"/>
          <w:b/>
          <w:color w:val="000000" w:themeColor="text1"/>
          <w:sz w:val="24"/>
          <w:szCs w:val="24"/>
          <w14:textFill>
            <w14:solidFill>
              <w14:schemeClr w14:val="tx1"/>
            </w14:solidFill>
          </w14:textFill>
        </w:rPr>
        <w:t>螺纹钢：基本面偏弱，后续关注政策发力情况</w:t>
      </w:r>
      <w:bookmarkEnd w:id="28"/>
    </w:p>
    <w:p>
      <w:pPr>
        <w:ind w:left="630" w:leftChars="300"/>
        <w:rPr>
          <w:rFonts w:ascii="楷体" w:hAnsi="楷体" w:eastAsia="楷体"/>
          <w:sz w:val="24"/>
          <w:szCs w:val="24"/>
        </w:rPr>
      </w:pPr>
      <w:r>
        <w:rPr>
          <w:rFonts w:hint="eastAsia" w:ascii="楷体" w:hAnsi="楷体" w:eastAsia="楷体"/>
          <w:sz w:val="24"/>
          <w:szCs w:val="24"/>
        </w:rPr>
        <w:t>从宏观面来看，美国大选落地，未来特朗普政府或提高对华的关税，可能将间接影响国内钢材出口需求，但国内财政预算方案尚未公布，情绪或仍有一定支撑。从基本面来看，步入季节性淡季，行业呈现供强需弱格局，库存去化出现边际放缓，供需压力也显现压力，钢材现货市场整体偏弱，对反弹存在压制，短期市场暂无明显驱动，以震荡对待，后续重点关注政策发力情况。</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29296"/>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1483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泰南地区降水明显增多 天胶成本支撑企稳</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主要产区的最新报价来看，昨日各品类胶价暂时企稳，主因泰南地区本周降水有所增加，对割胶作业影响加大。库存方面，本周青岛港口小幅累库。下游需求方面，近期全钢胎开工恢复较好同时成品库存持续降库，或因双十一电商节到来下长途物流运输需求好转；半钢轮胎维持产销高景气。整体看，尽管四季度橡胶在基本面供小于求的支撑下以偏多头思路看待，但仍需持续关注东南亚主产区短期降水问题有，九月以来轮胎出口数据出现较大下滑，谨防主力下游半钢胎需求走弱。短期天胶偏强震荡表现为主。</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355"/>
      <w:r>
        <w:rPr>
          <w:rFonts w:hint="eastAsia" w:ascii="Times New Roman" w:hAnsi="Times New Roman" w:eastAsia="楷体"/>
          <w:b/>
          <w:color w:val="000000" w:themeColor="text1"/>
          <w:sz w:val="24"/>
          <w:szCs w:val="24"/>
          <w14:textFill>
            <w14:solidFill>
              <w14:schemeClr w14:val="tx1"/>
            </w14:solidFill>
          </w14:textFill>
        </w:rPr>
        <w:t>聚烯烃：聚烯烃随原油波动为主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美元走强、原油库存增加以及川普当选打压原油市场情绪，聚烯烃成本支撑有所转弱，盘面宽幅震荡表现。PE开工率降低至偏低水平，PP开工率回升，其中PDH制PP开工率仍处于中下水平。预计未来开工率将回升。PE进口窗口打开，内外盘供应均有增量预期。当前处于聚烯烃旺季需求尾声，旺季需求复苏的预期基本落空。在下游利润及订单的制约下，需求端对价格正反馈有限。短期预计聚烯烃区间整理。</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27410"/>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24655"/>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1285"/>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1708"/>
      <w:r>
        <w:rPr>
          <w:rFonts w:hint="eastAsia" w:ascii="Times New Roman" w:hAnsi="Times New Roman" w:eastAsia="楷体"/>
          <w:b/>
          <w:color w:val="000000" w:themeColor="text1"/>
          <w:sz w:val="24"/>
          <w:szCs w:val="24"/>
          <w14:textFill>
            <w14:solidFill>
              <w14:schemeClr w14:val="tx1"/>
            </w14:solidFill>
          </w14:textFill>
        </w:rPr>
        <w:t>PTA：跟随宏观及成本端波动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原油方面，市场先交易“特朗普胜选逻辑”大跌，而隔夜原油又受海外市场风险偏好改善的带动走高，近期波动幅度较大。 PX 近期开工率有所下滑，当前宽松的现货供应格局下，PX弱势难改。本周恒力惠州250万吨恢复正常，独山能源250万吨检修，至11.1 PTA负荷在80.4%。本周聚酯装置大体平稳为主，初步核算国内大陆地区聚酯负荷在92.9%附近。天气转冷下游开工小幅提升。聚酯公布的装置检修计划不多，11月月均开工维持在9成以上。综合来看，近期随着成本端大幅下行，PTA动态加工费回升至365元/吨中性，产业链上下游开工均维持偏高水平，11、12月装置检修较少，供需双增下PTA受成本端影响较大，近期2501合约运行区间为4800-5200，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31983"/>
      <w:r>
        <w:rPr>
          <w:rFonts w:hint="eastAsia" w:ascii="Times New Roman" w:hAnsi="Times New Roman" w:eastAsia="楷体"/>
          <w:b/>
          <w:color w:val="000000" w:themeColor="text1"/>
          <w:sz w:val="24"/>
          <w:szCs w:val="24"/>
          <w14:textFill>
            <w14:solidFill>
              <w14:schemeClr w14:val="tx1"/>
            </w14:solidFill>
          </w14:textFill>
        </w:rPr>
        <w:t>乙二醇：开工下滑及下游改善 震荡偏强</w:t>
      </w:r>
      <w:bookmarkEnd w:id="37"/>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 11.4 华东主港地区MEG港口库存约57.1万吨附近，环比上周-7.5万吨。截至11月1日，中国大陆地区乙二醇整体开工负荷在67.24%（-0.05%），其中草酸催化加氢法（合成气）制乙二醇开工负荷在62.38%（-1.47%）。下游聚酯开工情况来看，聚酯端负荷整体保持良好，截至11.1 初步核算国内大陆地区聚酯负荷在92.9%附近，尤其是长丝负荷持续较高。聚酯端库存来看，长丝促销效果显著，整体库存节前维持去化。终端开工情况来看，截止11.1 江浙下游加弹、织造、印染负荷分别在93%、82%、86%，整体开工高位维持，坯布库存继续去化，整体织造端出货氛围尚可。综合来看，近期乙二醇国产煤化工装置检修增多，开工下滑叠加需求韧性，预估11供需结构改为偏平衡，短期震荡偏强。</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2257"/>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3010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淀粉-玉米价差继续收窄</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玉米现货整体表现偏弱，华北产区多有下跌，东北产区涨跌互现，南北方港口持稳；期价继续震荡运行，收盘变动不大。对于玉米而言 ，当下市场最大担忧是新作集中上市背景下市场补库对应期现货上涨的持续性，但在我们看来，期价远月升水结构反映市场对当前年度相对乐观的供需预期， 东北产区带动南北方港口现货持续稳中有涨， 表明新作压力最大对应现货价格低点已经出现，接下来在诸如国家增储、小麦上涨及其南方港口内外贸玉米库存 偏低等潜在利 多因素的带动下甚至可能进入补库存阶段，期现货价格有望逐步震荡上行。在这种情况下，我们维持谨慎看多观点，建议投资者持有前期多单。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淀粉现货整体稳定，仅个别地区报价下调10元/吨，期价震荡偏弱，表现相对弱于玉米，淀粉-玉米价差继续小幅收窄。对于淀粉而言， 近期 淀粉 玉米价差变动不大，主要源于行业供需和原料成本短期偏空，其中行业供需端因行业库存在前期持续下滑之后出现回升，而原料成本端由于近期华北玉米持续回落，导致华北 东北玉米价差收窄。但由于副产品维持低位，而淀粉基差高企，且盘面加工利润为负，我们倾向于淀粉 玉米价差收窄空间受限。在这种情况下，结合原料玉米判断，我们维持谨慎看多观点，建议单边投资者持有多单，套利投资者继续持有淀粉-玉米价差走扩套利。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0419"/>
      <w:r>
        <w:rPr>
          <w:rFonts w:hint="eastAsia" w:ascii="楷体" w:hAnsi="楷体" w:eastAsia="楷体"/>
          <w:b/>
          <w:bCs/>
          <w:color w:val="000000" w:themeColor="text1"/>
          <w14:textFill>
            <w14:solidFill>
              <w14:schemeClr w14:val="tx1"/>
            </w14:solidFill>
          </w14:textFill>
        </w:rPr>
        <w:t>畜禽养殖：期价多有回落</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整体弱势，全国均价下跌0.19元至16.97元/公斤；期价整体弱势，除近月11月合约外多有收跌。对于生猪而言，从期价远期贴水结构可以看出，市场对生猪市场远期供需改善预期较为一致，这可以从若干方面得到印证，包括能繁母猪存栏见底回升，猪料产量环比增加，仔猪价格见顶回落等。随着期价的持续回落，市场分歧转向当前期价是否已经反映现货下跌预期，因目前最低的 3 月合约已经跌至过去两年春节前后低点 14 元 公斤的水平。从供应角度看，农业农村部公布的季度末生猪存栏量虽连续环比增加，但仍处于过去四年来最低水平，而今年 3 季度出栏仅次于去年，这意味着 4 季度供应环比增幅受限，这会抑制猪价下跌空间；而需求则存在较大的不确定性，受宏观经济影响，市场反映今年需求不及往年同期，这会抑制猪价上方空间。考虑到气温的下降， 再 加上季节性因素，生猪需求或有所改善。由此可以看出，当前市场矛盾在于市场预期偏差，我们倾向于市场已经在很大程度上反映悲观预期，期价继续下跌空间或有限，但能否反弹首先需要关注现货价格走势，其次还需要关注饲料原料成本。在这种情况下，我们持谨慎看多观点。</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多有回落，其中主产区均价下跌0.08元至4.48元/斤，主销区均价下跌0.07元至4.76元/斤；期价整体弱势，各合约有不同程度下跌。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谨慎投资者观望，激进投资者可考虑持有近月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5348"/>
      <w:r>
        <w:rPr>
          <w:rFonts w:hint="eastAsia" w:ascii="楷体" w:hAnsi="楷体" w:eastAsia="楷体"/>
          <w:b/>
          <w:bCs/>
          <w:color w:val="000000" w:themeColor="text1"/>
          <w14:textFill>
            <w14:solidFill>
              <w14:schemeClr w14:val="tx1"/>
            </w14:solidFill>
          </w14:textFill>
        </w:rPr>
        <w:t>白糖：内外糖价高位区间宽幅震荡整理，短期向下突破可能性较大</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隔日外盘，ICE原糖11号主力合约上涨1.01%，伦敦白砂糖主力合约上涨0.55%。夜盘郑糖2501主力合约下跌0.05%。巴西对外贸易秘书处( Secex )公布的出口数据显示，巴西10月出口糖3,729,366.09吨，日均出口量为169,516.64吨，较上年10月的日均出口量136,869.52吨增加29.75%。上年10月，巴西糖出口量为2,874,259.85吨。国内，新糖逐渐上市，成本偏低，整体是丰产预期。预计短期高位区间偏弱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lang w:eastAsia="zh-CN"/>
          <w14:textFill>
            <w14:solidFill>
              <w14:schemeClr w14:val="tx1"/>
            </w14:solidFill>
          </w14:textFill>
        </w:rPr>
      </w:pPr>
      <w:bookmarkStart w:id="42" w:name="_Toc14681"/>
      <w:r>
        <w:rPr>
          <w:rFonts w:hint="eastAsia" w:ascii="楷体" w:hAnsi="楷体" w:eastAsia="楷体"/>
          <w:b/>
          <w:bCs/>
          <w:color w:val="000000" w:themeColor="text1"/>
          <w14:textFill>
            <w14:solidFill>
              <w14:schemeClr w14:val="tx1"/>
            </w14:solidFill>
          </w14:textFill>
        </w:rPr>
        <w:t>棉花：</w:t>
      </w:r>
      <w:r>
        <w:rPr>
          <w:rFonts w:hint="eastAsia" w:ascii="楷体" w:hAnsi="楷体" w:eastAsia="楷体"/>
          <w:b/>
          <w:bCs/>
          <w:color w:val="000000" w:themeColor="text1"/>
          <w:lang w:val="en-US" w:eastAsia="zh-CN"/>
          <w14:textFill>
            <w14:solidFill>
              <w14:schemeClr w14:val="tx1"/>
            </w14:solidFill>
          </w14:textFill>
        </w:rPr>
        <w:t>预计郑棉震荡偏弱</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隔日外盘，ICE美棉主力下跌0.39%。夜盘郑棉2501主力合约持平%。巴西对外贸易秘书处( Secex )公布的出口数据显示，巴西10月出口棉花280,945.36吨，日均出口量为12,770.24吨，较上年10月的日均出口量10,745.65吨增加24.50%。上年10月，巴西棉花出口量为225,658.62吨。国内，本年度棉花丰产，产量预计同比增加5%-7%，供应充沛。籽棉收购价相对稳定，集中在6.1-6.4元/公斤区间。轧花厂依然持谨慎态度，风险偏好低。金九银十结束，纺织开机率逐步下降。供强需渐弱，郑棉震荡偏弱。</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26093"/>
      <w:r>
        <w:rPr>
          <w:rFonts w:hint="eastAsia" w:ascii="楷体" w:hAnsi="楷体" w:eastAsia="楷体"/>
          <w:b/>
          <w:bCs/>
          <w:color w:val="000000" w:themeColor="text1"/>
          <w14:textFill>
            <w14:solidFill>
              <w14:schemeClr w14:val="tx1"/>
            </w14:solidFill>
          </w14:textFill>
        </w:rPr>
        <w:t>苹果：区间震荡，消化前期涨幅</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本年度新果上市，收购价较往年同期低1元/公斤左右。由于价格合理，且去年囤货商损失惨重，本年度上市初期鲜果低价销售极为顺畅，入库量同比大减。近日现货价格略有上涨，各地涨幅0.2元-0.4元/公斤不等。11月6日时栖霞苹果一、二级纸袋80#的市场价为3.5元/斤，蓬莱区的则为3.7元/斤。由于前期苹果已低位区间震荡近4个月，现货带动期价上行突破后迅速吸引大量资金涌入。但本年度苹果丰产，产量同比增加，质量水平亦可，与往年大减产的牛市情况略有区别。短期内涨幅过大，震荡或者小幅回落以消化前期涨幅，等待回落后低多机会。</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21284"/>
      <w:r>
        <w:rPr>
          <w:rFonts w:hint="eastAsia" w:ascii="楷体" w:hAnsi="楷体" w:eastAsia="楷体"/>
          <w:b/>
          <w:bCs/>
          <w:color w:val="000000" w:themeColor="text1"/>
          <w14:textFill>
            <w14:solidFill>
              <w14:schemeClr w14:val="tx1"/>
            </w14:solidFill>
          </w14:textFill>
        </w:rPr>
        <w:t>蛋白粕：美国大选结果落定，市场担忧供应前景</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二上涨2.59%，豆粕上涨2.44%；菜籽上涨0.36%，菜粕上涨2.68%。昨日美国大选结果落定，由于市场担忧美国重启“贸易保护”，影响中国进口美豆，豆系尤其是大豆和豆粕大幅上涨。同时，继天津中粮断豆停机停产后，华北地区陆续有工厂公布减产或者限量开单的消息，削弱豆粕库存偏高带来的供应压力，上周豆粕库存大幅下滑，降至4个半月新低。截止第44周，国内豆粕库存量为102.6万吨，较上周的112.6万吨减少10.0万吨，环比下降8.93%。短期来看，市场情绪影响下豆粕或上行。</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5" w:name="_Toc28058"/>
      <w:r>
        <w:rPr>
          <w:rFonts w:hint="eastAsia" w:ascii="楷体" w:hAnsi="楷体" w:eastAsia="楷体"/>
          <w:b/>
          <w:bCs/>
          <w:color w:val="000000" w:themeColor="text1"/>
          <w14:textFill>
            <w14:solidFill>
              <w14:schemeClr w14:val="tx1"/>
            </w14:solidFill>
          </w14:textFill>
        </w:rPr>
        <w:t>油脂类：印度需求激增，支撑棕油价格向上突破</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1.59%，菜油上涨1.03%，棕榈油上涨1.87%。豆油方面，昨日美国大选结果落定，由于市场担忧美国重启“贸易保护”，影响大豆供应进而影响豆油产量，昨日豆油跟随豆系上涨。棕榈油方面，据外电11月6日消息，印度10月份棕榈油进口量较上月激增59%，创下三个月来的新高，因精炼厂提高采购量，以补充近几个月进口量低于正常水平和节日需求强劲而消耗的库存。在主产国产量下降的同时，需求端激增，期价再度突破上行。菜系供应宽松，自身偏弱，跟随豆棕变动。</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6" w:name="_Toc1818"/>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4707"/>
      <w:r>
        <w:rPr>
          <w:rFonts w:hint="eastAsia" w:ascii="Times New Roman" w:hAnsi="Times New Roman" w:eastAsia="楷体"/>
          <w:b/>
          <w:color w:val="000000" w:themeColor="text1"/>
          <w:sz w:val="24"/>
          <w:szCs w:val="24"/>
          <w14:textFill>
            <w14:solidFill>
              <w14:schemeClr w14:val="tx1"/>
            </w14:solidFill>
          </w14:textFill>
        </w:rPr>
        <w:t>集运指数（欧线）：部分船司继续提涨，主力期价微涨</w:t>
      </w:r>
      <w:bookmarkEnd w:id="4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02合约微涨0.42%至3180.0。40GP现舱线上报价约4000美元。马士基重新提涨欧线长协旺季附加费PSS至750/1500，最早于11月15日生效。达飞亚洲至地中海及北非航线费率上调，最高涨115%，11月15日生效，其中亚洲至西地中海3800/5700。ONE发布2024财年Q2财报：营收增长65%，净利润19.99亿美元。关注后续船司提涨能否实质性落地，多空博弈期间留意短期波动加剧风险，期价或宽幅震荡，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72481108"/>
      <w:bookmarkStart w:id="49" w:name="_Toc98426751"/>
      <w:bookmarkStart w:id="50" w:name="_Toc19667"/>
      <w:bookmarkStart w:id="51" w:name="_Toc71212556"/>
      <w:bookmarkStart w:id="52" w:name="_Toc12779"/>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2024年11月7日星期四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3B0EDD"/>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AF662C"/>
    <w:rsid w:val="0DB77106"/>
    <w:rsid w:val="0DCE2D64"/>
    <w:rsid w:val="0E20128F"/>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45F7588"/>
    <w:rsid w:val="458C38B3"/>
    <w:rsid w:val="459609D9"/>
    <w:rsid w:val="45A37566"/>
    <w:rsid w:val="45B634E5"/>
    <w:rsid w:val="45CF0A85"/>
    <w:rsid w:val="45F224BA"/>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5C7364"/>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5F0963C1"/>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10F0C"/>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2024-11-07T01:38:47Z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