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_Toc27877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_Toc21118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_Toc1012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_Toc21313 </w:instrText>
          </w:r>
          <w:r>
            <w:rPr>
              <w:bCs/>
            </w:rPr>
            <w:fldChar w:fldCharType="separate"/>
          </w:r>
          <w:r>
            <w:rPr>
              <w:rFonts w:hint="eastAsia" w:ascii="Times New Roman" w:hAnsi="Times New Roman" w:eastAsia="楷体"/>
              <w:szCs w:val="24"/>
            </w:rPr>
            <w:t>贵金属：避险情绪降温叠加特朗普政策影响预期回落，贵金属价格下跌</w:t>
          </w:r>
          <w:r>
            <w:rPr>
              <w:bCs/>
            </w:rPr>
            <w:fldChar w:fldCharType="end"/>
          </w:r>
        </w:p>
        <w:p>
          <w:pPr>
            <w:pStyle w:val="59"/>
            <w:tabs>
              <w:tab w:val="right" w:leader="dot" w:pos="8306"/>
            </w:tabs>
          </w:pPr>
          <w:r>
            <w:rPr>
              <w:bCs/>
            </w:rPr>
            <w:fldChar w:fldCharType="begin"/>
          </w:r>
          <w:r>
            <w:rPr>
              <w:bCs/>
            </w:rPr>
            <w:instrText xml:space="preserve"> HYPERLINK \l _Toc23289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_Toc16614 </w:instrText>
          </w:r>
          <w:r>
            <w:rPr>
              <w:bCs/>
            </w:rPr>
            <w:fldChar w:fldCharType="separate"/>
          </w:r>
          <w:r>
            <w:rPr>
              <w:rFonts w:hint="eastAsia" w:ascii="楷体" w:hAnsi="楷体" w:eastAsia="楷体"/>
              <w:szCs w:val="24"/>
            </w:rPr>
            <w:t>碳酸锂：周度库存小幅去库，期价略微反弹</w:t>
          </w:r>
          <w:r>
            <w:rPr>
              <w:bCs/>
            </w:rPr>
            <w:fldChar w:fldCharType="end"/>
          </w:r>
        </w:p>
        <w:p>
          <w:pPr>
            <w:pStyle w:val="74"/>
            <w:tabs>
              <w:tab w:val="right" w:leader="dot" w:pos="8306"/>
            </w:tabs>
          </w:pPr>
          <w:r>
            <w:rPr>
              <w:bCs/>
            </w:rPr>
            <w:fldChar w:fldCharType="begin"/>
          </w:r>
          <w:r>
            <w:rPr>
              <w:bCs/>
            </w:rPr>
            <w:instrText xml:space="preserve"> HYPERLINK \l _Toc15892 </w:instrText>
          </w:r>
          <w:r>
            <w:rPr>
              <w:bCs/>
            </w:rPr>
            <w:fldChar w:fldCharType="separate"/>
          </w:r>
          <w:r>
            <w:rPr>
              <w:rFonts w:hint="eastAsia" w:ascii="楷体" w:hAnsi="楷体" w:eastAsia="楷体"/>
              <w:szCs w:val="24"/>
            </w:rPr>
            <w:t>铝：氧化铝价格高位震荡，铝价成本支撑偏多看待</w:t>
          </w:r>
          <w:r>
            <w:rPr>
              <w:bCs/>
            </w:rPr>
            <w:fldChar w:fldCharType="end"/>
          </w:r>
        </w:p>
        <w:p>
          <w:pPr>
            <w:pStyle w:val="74"/>
            <w:tabs>
              <w:tab w:val="right" w:leader="dot" w:pos="8306"/>
            </w:tabs>
          </w:pPr>
          <w:r>
            <w:rPr>
              <w:bCs/>
            </w:rPr>
            <w:fldChar w:fldCharType="begin"/>
          </w:r>
          <w:r>
            <w:rPr>
              <w:bCs/>
            </w:rPr>
            <w:instrText xml:space="preserve"> HYPERLINK \l _Toc1818 </w:instrText>
          </w:r>
          <w:r>
            <w:rPr>
              <w:bCs/>
            </w:rPr>
            <w:fldChar w:fldCharType="separate"/>
          </w:r>
          <w:r>
            <w:rPr>
              <w:rFonts w:hint="eastAsia" w:ascii="楷体" w:hAnsi="楷体" w:eastAsia="楷体"/>
              <w:szCs w:val="24"/>
            </w:rPr>
            <w:t>锌：测试前高压力</w:t>
          </w:r>
          <w:r>
            <w:rPr>
              <w:bCs/>
            </w:rPr>
            <w:fldChar w:fldCharType="end"/>
          </w:r>
        </w:p>
        <w:p>
          <w:pPr>
            <w:pStyle w:val="74"/>
            <w:tabs>
              <w:tab w:val="right" w:leader="dot" w:pos="8306"/>
            </w:tabs>
          </w:pPr>
          <w:r>
            <w:rPr>
              <w:bCs/>
            </w:rPr>
            <w:fldChar w:fldCharType="begin"/>
          </w:r>
          <w:r>
            <w:rPr>
              <w:bCs/>
            </w:rPr>
            <w:instrText xml:space="preserve"> HYPERLINK \l _Toc16898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：强美元继续压制价格，下方空间谨慎</w:t>
          </w:r>
          <w:r>
            <w:rPr>
              <w:bCs/>
            </w:rPr>
            <w:fldChar w:fldCharType="end"/>
          </w:r>
        </w:p>
        <w:p>
          <w:pPr>
            <w:pStyle w:val="74"/>
            <w:tabs>
              <w:tab w:val="right" w:leader="dot" w:pos="8306"/>
            </w:tabs>
          </w:pPr>
          <w:r>
            <w:rPr>
              <w:bCs/>
            </w:rPr>
            <w:fldChar w:fldCharType="begin"/>
          </w:r>
          <w:r>
            <w:rPr>
              <w:bCs/>
            </w:rPr>
            <w:instrText xml:space="preserve"> HYPERLINK \l _Toc2126 </w:instrText>
          </w:r>
          <w:r>
            <w:rPr>
              <w:bCs/>
            </w:rPr>
            <w:fldChar w:fldCharType="separate"/>
          </w:r>
          <w:r>
            <w:rPr>
              <w:rFonts w:hint="eastAsia" w:ascii="楷体" w:hAnsi="楷体" w:eastAsia="楷体"/>
              <w:szCs w:val="24"/>
            </w:rPr>
            <w:t>镍：预计镍价反弹空间受限，关注高空机会</w:t>
          </w:r>
          <w:r>
            <w:rPr>
              <w:bCs/>
            </w:rPr>
            <w:fldChar w:fldCharType="end"/>
          </w:r>
        </w:p>
        <w:p>
          <w:pPr>
            <w:pStyle w:val="74"/>
            <w:tabs>
              <w:tab w:val="right" w:leader="dot" w:pos="8306"/>
            </w:tabs>
          </w:pPr>
          <w:r>
            <w:rPr>
              <w:bCs/>
            </w:rPr>
            <w:fldChar w:fldCharType="begin"/>
          </w:r>
          <w:r>
            <w:rPr>
              <w:bCs/>
            </w:rPr>
            <w:instrText xml:space="preserve"> HYPERLINK \l _Toc26000 </w:instrText>
          </w:r>
          <w:r>
            <w:rPr>
              <w:bCs/>
            </w:rPr>
            <w:fldChar w:fldCharType="separate"/>
          </w:r>
          <w:r>
            <w:rPr>
              <w:rFonts w:hint="eastAsia" w:ascii="楷体" w:hAnsi="楷体" w:eastAsia="楷体"/>
              <w:szCs w:val="24"/>
            </w:rPr>
            <w:t>锡：震荡企稳，重心或上移</w:t>
          </w:r>
          <w:r>
            <w:rPr>
              <w:bCs/>
            </w:rPr>
            <w:fldChar w:fldCharType="end"/>
          </w:r>
        </w:p>
        <w:p>
          <w:pPr>
            <w:pStyle w:val="74"/>
            <w:tabs>
              <w:tab w:val="right" w:leader="dot" w:pos="8306"/>
            </w:tabs>
          </w:pPr>
          <w:r>
            <w:rPr>
              <w:bCs/>
            </w:rPr>
            <w:fldChar w:fldCharType="begin"/>
          </w:r>
          <w:r>
            <w:rPr>
              <w:bCs/>
            </w:rPr>
            <w:instrText xml:space="preserve"> HYPERLINK \l _Toc15817 </w:instrText>
          </w:r>
          <w:r>
            <w:rPr>
              <w:bCs/>
            </w:rPr>
            <w:fldChar w:fldCharType="separate"/>
          </w:r>
          <w:r>
            <w:rPr>
              <w:rFonts w:hint="eastAsia" w:ascii="楷体" w:hAnsi="楷体" w:eastAsia="楷体"/>
              <w:szCs w:val="24"/>
            </w:rPr>
            <w:t>铅：环保管控再袭，预计铅价向下空间有限</w:t>
          </w:r>
          <w:r>
            <w:rPr>
              <w:bCs/>
            </w:rPr>
            <w:fldChar w:fldCharType="end"/>
          </w:r>
        </w:p>
        <w:p>
          <w:pPr>
            <w:pStyle w:val="74"/>
            <w:tabs>
              <w:tab w:val="right" w:leader="dot" w:pos="8306"/>
            </w:tabs>
          </w:pPr>
          <w:r>
            <w:rPr>
              <w:bCs/>
            </w:rPr>
            <w:fldChar w:fldCharType="begin"/>
          </w:r>
          <w:r>
            <w:rPr>
              <w:bCs/>
            </w:rPr>
            <w:instrText xml:space="preserve"> HYPERLINK \l _Toc9166 </w:instrText>
          </w:r>
          <w:r>
            <w:rPr>
              <w:bCs/>
            </w:rPr>
            <w:fldChar w:fldCharType="separate"/>
          </w:r>
          <w:r>
            <w:rPr>
              <w:rFonts w:hint="eastAsia" w:ascii="楷体" w:hAnsi="楷体" w:eastAsia="楷体"/>
              <w:szCs w:val="24"/>
            </w:rPr>
            <w:t>不锈钢：成本支撑下移，预计期价偏弱运行</w:t>
          </w:r>
          <w:r>
            <w:rPr>
              <w:bCs/>
            </w:rPr>
            <w:fldChar w:fldCharType="end"/>
          </w:r>
        </w:p>
        <w:p>
          <w:pPr>
            <w:pStyle w:val="74"/>
            <w:tabs>
              <w:tab w:val="right" w:leader="dot" w:pos="8306"/>
            </w:tabs>
          </w:pPr>
          <w:r>
            <w:rPr>
              <w:bCs/>
            </w:rPr>
            <w:fldChar w:fldCharType="begin"/>
          </w:r>
          <w:r>
            <w:rPr>
              <w:bCs/>
            </w:rPr>
            <w:instrText xml:space="preserve"> HYPERLINK \l _Toc10655 </w:instrText>
          </w:r>
          <w:r>
            <w:rPr>
              <w:bCs/>
            </w:rPr>
            <w:fldChar w:fldCharType="separate"/>
          </w:r>
          <w:r>
            <w:rPr>
              <w:rFonts w:hint="eastAsia" w:ascii="楷体" w:hAnsi="楷体" w:eastAsia="楷体"/>
              <w:szCs w:val="24"/>
            </w:rPr>
            <w:t>工业硅：需求持续疲软，盘面承压下行</w:t>
          </w:r>
          <w:r>
            <w:rPr>
              <w:bCs/>
            </w:rPr>
            <w:fldChar w:fldCharType="end"/>
          </w:r>
        </w:p>
        <w:p>
          <w:pPr>
            <w:pStyle w:val="74"/>
            <w:tabs>
              <w:tab w:val="right" w:leader="dot" w:pos="8306"/>
            </w:tabs>
          </w:pPr>
          <w:r>
            <w:rPr>
              <w:bCs/>
            </w:rPr>
            <w:fldChar w:fldCharType="begin"/>
          </w:r>
          <w:r>
            <w:rPr>
              <w:bCs/>
            </w:rPr>
            <w:instrText xml:space="preserve"> HYPERLINK \l _Toc9408 </w:instrText>
          </w:r>
          <w:r>
            <w:rPr>
              <w:bCs/>
            </w:rPr>
            <w:fldChar w:fldCharType="separate"/>
          </w:r>
          <w:r>
            <w:rPr>
              <w:rFonts w:hint="eastAsia" w:ascii="楷体" w:hAnsi="楷体" w:eastAsia="楷体"/>
              <w:szCs w:val="24"/>
            </w:rPr>
            <w:t>螺纹钢：无明显单边驱动，或延续震荡行情</w:t>
          </w:r>
          <w:r>
            <w:rPr>
              <w:bCs/>
            </w:rPr>
            <w:fldChar w:fldCharType="end"/>
          </w:r>
        </w:p>
        <w:p>
          <w:pPr>
            <w:pStyle w:val="59"/>
            <w:tabs>
              <w:tab w:val="right" w:leader="dot" w:pos="8306"/>
            </w:tabs>
          </w:pPr>
          <w:r>
            <w:rPr>
              <w:bCs/>
            </w:rPr>
            <w:fldChar w:fldCharType="begin"/>
          </w:r>
          <w:r>
            <w:rPr>
              <w:bCs/>
            </w:rPr>
            <w:instrText xml:space="preserve"> HYPERLINK \l _Toc12566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_Toc26773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泰南地区降雨增加 天胶有所止跌</w:t>
          </w:r>
          <w:r>
            <w:rPr>
              <w:bCs/>
            </w:rPr>
            <w:fldChar w:fldCharType="end"/>
          </w:r>
        </w:p>
        <w:p>
          <w:pPr>
            <w:pStyle w:val="74"/>
            <w:tabs>
              <w:tab w:val="right" w:leader="dot" w:pos="8306"/>
            </w:tabs>
          </w:pPr>
          <w:r>
            <w:rPr>
              <w:bCs/>
            </w:rPr>
            <w:fldChar w:fldCharType="begin"/>
          </w:r>
          <w:r>
            <w:rPr>
              <w:bCs/>
            </w:rPr>
            <w:instrText xml:space="preserve"> HYPERLINK \l _Toc27521 </w:instrText>
          </w:r>
          <w:r>
            <w:rPr>
              <w:bCs/>
            </w:rPr>
            <w:fldChar w:fldCharType="separate"/>
          </w:r>
          <w:r>
            <w:rPr>
              <w:rFonts w:hint="eastAsia" w:ascii="Times New Roman" w:hAnsi="Times New Roman" w:eastAsia="楷体"/>
              <w:szCs w:val="24"/>
            </w:rPr>
            <w:t>聚烯烃：聚烯烃随成本端原油波动为主</w:t>
          </w:r>
          <w:r>
            <w:rPr>
              <w:bCs/>
            </w:rPr>
            <w:fldChar w:fldCharType="end"/>
          </w:r>
        </w:p>
        <w:p>
          <w:pPr>
            <w:pStyle w:val="74"/>
            <w:tabs>
              <w:tab w:val="right" w:leader="dot" w:pos="8306"/>
            </w:tabs>
          </w:pPr>
          <w:r>
            <w:rPr>
              <w:bCs/>
            </w:rPr>
            <w:fldChar w:fldCharType="begin"/>
          </w:r>
          <w:r>
            <w:rPr>
              <w:bCs/>
            </w:rPr>
            <w:instrText xml:space="preserve"> HYPERLINK \l _Toc27063 </w:instrText>
          </w:r>
          <w:r>
            <w:rPr>
              <w:bCs/>
            </w:rPr>
            <w:fldChar w:fldCharType="separate"/>
          </w:r>
          <w:r>
            <w:rPr>
              <w:rFonts w:hint="eastAsia" w:ascii="Times New Roman" w:hAnsi="Times New Roman" w:eastAsia="楷体"/>
              <w:szCs w:val="24"/>
            </w:rPr>
            <w:t>PTA：供需矛盾暂不突出 跟随成本端波动</w:t>
          </w:r>
          <w:r>
            <w:rPr>
              <w:bCs/>
            </w:rPr>
            <w:fldChar w:fldCharType="end"/>
          </w:r>
        </w:p>
        <w:p>
          <w:pPr>
            <w:pStyle w:val="74"/>
            <w:tabs>
              <w:tab w:val="right" w:leader="dot" w:pos="8306"/>
            </w:tabs>
          </w:pPr>
          <w:r>
            <w:rPr>
              <w:bCs/>
            </w:rPr>
            <w:fldChar w:fldCharType="begin"/>
          </w:r>
          <w:r>
            <w:rPr>
              <w:bCs/>
            </w:rPr>
            <w:instrText xml:space="preserve"> HYPERLINK \l _Toc4245 </w:instrText>
          </w:r>
          <w:r>
            <w:rPr>
              <w:bCs/>
            </w:rPr>
            <w:fldChar w:fldCharType="separate"/>
          </w:r>
          <w:r>
            <w:rPr>
              <w:rFonts w:hint="eastAsia" w:ascii="Times New Roman" w:hAnsi="Times New Roman" w:eastAsia="楷体"/>
              <w:szCs w:val="24"/>
            </w:rPr>
            <w:t>乙二醇：供应恢复及终端趋弱 二醇走势承压</w:t>
          </w:r>
          <w:r>
            <w:rPr>
              <w:bCs/>
            </w:rPr>
            <w:fldChar w:fldCharType="end"/>
          </w:r>
        </w:p>
        <w:p>
          <w:pPr>
            <w:pStyle w:val="59"/>
            <w:tabs>
              <w:tab w:val="right" w:leader="dot" w:pos="8306"/>
            </w:tabs>
          </w:pPr>
          <w:r>
            <w:rPr>
              <w:bCs/>
            </w:rPr>
            <w:fldChar w:fldCharType="begin"/>
          </w:r>
          <w:r>
            <w:rPr>
              <w:bCs/>
            </w:rPr>
            <w:instrText xml:space="preserve"> HYPERLINK \l _Toc21547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_Toc19140 </w:instrText>
          </w:r>
          <w:r>
            <w:rPr>
              <w:bCs/>
            </w:rPr>
            <w:fldChar w:fldCharType="separate"/>
          </w:r>
          <w:r>
            <w:rPr>
              <w:rFonts w:hint="eastAsia" w:ascii="楷体" w:hAnsi="楷体" w:eastAsia="楷体"/>
              <w:bCs/>
            </w:rPr>
            <w:t>玉米与淀粉：</w:t>
          </w:r>
          <w:r>
            <w:rPr>
              <w:rFonts w:hint="eastAsia" w:ascii="楷体" w:hAnsi="楷体" w:eastAsia="楷体"/>
            </w:rPr>
            <w:t>淀粉-玉米价差继续小幅收窄</w:t>
          </w:r>
          <w:r>
            <w:rPr>
              <w:bCs/>
            </w:rPr>
            <w:fldChar w:fldCharType="end"/>
          </w:r>
        </w:p>
        <w:p>
          <w:pPr>
            <w:pStyle w:val="74"/>
            <w:tabs>
              <w:tab w:val="right" w:leader="dot" w:pos="8306"/>
            </w:tabs>
          </w:pPr>
          <w:r>
            <w:rPr>
              <w:bCs/>
            </w:rPr>
            <w:fldChar w:fldCharType="begin"/>
          </w:r>
          <w:r>
            <w:rPr>
              <w:bCs/>
            </w:rPr>
            <w:instrText xml:space="preserve"> HYPERLINK \l _Toc9498 </w:instrText>
          </w:r>
          <w:r>
            <w:rPr>
              <w:bCs/>
            </w:rPr>
            <w:fldChar w:fldCharType="separate"/>
          </w:r>
          <w:r>
            <w:rPr>
              <w:rFonts w:hint="eastAsia" w:ascii="楷体" w:hAnsi="楷体" w:eastAsia="楷体"/>
              <w:bCs/>
            </w:rPr>
            <w:t>畜禽养殖：生猪基差走强</w:t>
          </w:r>
          <w:r>
            <w:rPr>
              <w:bCs/>
            </w:rPr>
            <w:fldChar w:fldCharType="end"/>
          </w:r>
        </w:p>
        <w:p>
          <w:pPr>
            <w:pStyle w:val="74"/>
            <w:tabs>
              <w:tab w:val="right" w:leader="dot" w:pos="8306"/>
            </w:tabs>
          </w:pPr>
          <w:r>
            <w:rPr>
              <w:bCs/>
            </w:rPr>
            <w:fldChar w:fldCharType="begin"/>
          </w:r>
          <w:r>
            <w:rPr>
              <w:bCs/>
            </w:rPr>
            <w:instrText xml:space="preserve"> HYPERLINK \l _Toc5416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_Toc23418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_Toc18943 </w:instrText>
          </w:r>
          <w:r>
            <w:rPr>
              <w:bCs/>
            </w:rPr>
            <w:fldChar w:fldCharType="separate"/>
          </w:r>
          <w:r>
            <w:rPr>
              <w:rFonts w:hint="eastAsia" w:ascii="楷体" w:hAnsi="楷体" w:eastAsia="楷体"/>
              <w:bCs/>
            </w:rPr>
            <w:t>蛋白粕：周度库存小幅去化，期价震荡运行</w:t>
          </w:r>
          <w:r>
            <w:rPr>
              <w:bCs/>
            </w:rPr>
            <w:fldChar w:fldCharType="end"/>
          </w:r>
        </w:p>
        <w:p>
          <w:pPr>
            <w:pStyle w:val="74"/>
            <w:tabs>
              <w:tab w:val="right" w:leader="dot" w:pos="8306"/>
            </w:tabs>
          </w:pPr>
          <w:r>
            <w:rPr>
              <w:bCs/>
            </w:rPr>
            <w:fldChar w:fldCharType="begin"/>
          </w:r>
          <w:r>
            <w:rPr>
              <w:bCs/>
            </w:rPr>
            <w:instrText xml:space="preserve"> HYPERLINK \l _Toc27443 </w:instrText>
          </w:r>
          <w:r>
            <w:rPr>
              <w:bCs/>
            </w:rPr>
            <w:fldChar w:fldCharType="separate"/>
          </w:r>
          <w:r>
            <w:rPr>
              <w:rFonts w:hint="eastAsia" w:ascii="楷体" w:hAnsi="楷体" w:eastAsia="楷体"/>
              <w:bCs/>
            </w:rPr>
            <w:t>油脂类：三大油脂库存持续去化，棕油依旧表现最强</w:t>
          </w:r>
          <w:r>
            <w:rPr>
              <w:bCs/>
            </w:rPr>
            <w:fldChar w:fldCharType="end"/>
          </w:r>
        </w:p>
        <w:p>
          <w:pPr>
            <w:pStyle w:val="59"/>
            <w:tabs>
              <w:tab w:val="right" w:leader="dot" w:pos="8306"/>
            </w:tabs>
          </w:pPr>
          <w:r>
            <w:rPr>
              <w:bCs/>
            </w:rPr>
            <w:fldChar w:fldCharType="begin"/>
          </w:r>
          <w:r>
            <w:rPr>
              <w:bCs/>
            </w:rPr>
            <w:instrText xml:space="preserve"> HYPERLINK \l _Toc28101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_Toc28208 </w:instrText>
          </w:r>
          <w:r>
            <w:rPr>
              <w:bCs/>
            </w:rPr>
            <w:fldChar w:fldCharType="separate"/>
          </w:r>
          <w:r>
            <w:rPr>
              <w:rFonts w:hint="eastAsia" w:ascii="Times New Roman" w:hAnsi="Times New Roman" w:eastAsia="楷体"/>
              <w:szCs w:val="24"/>
            </w:rPr>
            <w:t>集运指数（欧线）：运价指数下跌，期价窄幅震荡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787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111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连续两日反弹后收复前日阴线且回到20日线之上，市场情绪有较大幅度转暖，成交量未见大放量，目前1.6万亿左右暂可维持震荡或小幅反弹态势，预计市场短期均线再度有收敛聚拢迹象，震荡或仍是主旋律，可以20日均线作为支撑位低多。若后续做多逻辑演绎不能一鼓作气，短期市场可能存在调整压力，后续能否继续顺势而为，从量价角度上可以参考20日线支撑以及两市成交额及换手率水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1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313"/>
      <w:r>
        <w:rPr>
          <w:rFonts w:hint="eastAsia" w:ascii="Times New Roman" w:hAnsi="Times New Roman" w:eastAsia="楷体"/>
          <w:b/>
          <w:color w:val="000000" w:themeColor="text1"/>
          <w:sz w:val="24"/>
          <w:szCs w:val="24"/>
          <w14:textFill>
            <w14:solidFill>
              <w14:schemeClr w14:val="tx1"/>
            </w14:solidFill>
          </w14:textFill>
        </w:rPr>
        <w:t>贵金属：避险情绪降温叠加特朗普政策影响预期回落，贵金属价格下跌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沪金跌2.80%至608.20元/克，沪银跌2.29%至7589元/千克。据外媒消息以色列临时性同意与黎巴嫩的停火协议，地缘冲突的避险情绪降温。特朗普提名宏观对冲基金Key Square Group创始人斯科特·贝森特为美国下一任财长，海外市场预期其主张减少政府支出、可能主张采取缓慢的贸易关税调整，部分多头资金于近期高位止盈离场，且受中东局势缓和的消息面因素影响，美元指数及贵金属价格下挫。美国11月标普全球制造业PMI初值48.8，维持于收缩区间，符合预期，10月前值48.5；美国11月标普全球服务业PMI初值57，预期值55.2，前值55；美国11月标普全球综合PMI初值55.3，预期值54.3，前值54.1。海外市场对于美联储降息的预期降温，12月降息的几率降至56.2%，多头情绪回落后贵金属价格回吐此前涨幅，前期多单离场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328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661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碳酸锂：周度库存小幅去库，期价略微反弹</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01合约涨0.44%至80350元/吨。碳酸锂周度库存维持回落，周环比下降0.69%至约10.83万吨；上游库存周环比下降0.77%至约3.39万吨，贸易商等中游环节库存周环比下降0.55%至约4.51万吨，下游库存周环比下降0.81%至约2.93万吨。碳酸锂周度产量及开工小幅上行。此前部分企业拟参考近期01合约结算价小幅贴水出货，基本持平于近期现货均价。需求相对向好，部分终端企业考虑在北美提涨关税之前提前出货，终端四季度冲量阶段对于正极材料的需求提升。短期内锂盐供需两旺，消息面因素扰动下留意波动加剧风险，后续关注下游12月排产预期情况，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589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氧化铝价格高位震荡，铝价成本支撑偏多看待</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走势依旧强势，对有色价格形成压制，国内宣布调整出口退税政策，利空国内出口，市场情绪偏弱。澳洲FOB、鲅鱼圈CIF报价持续上涨，氧化铝现货侧支撑偏强，国内氧化铝库存低位去库但去库速率有所放缓，未见库存拐点出现，氧化铝运行产能缩减但产能提升，产能高负荷生产不可持续，期货盘面资金博弈明显，合约近远月差维持BACK结构，现货紧张，需求刚性。海外铝土矿有美铝减停、几内亚GAC停矿等消息传出，国内铝土矿在本身供应偏紧的情况下，进入冬季环保限产矿产供应或进一步压缩，氧化铝现货报价持续攀升，电解铝核心成本抬升明显，高成本生产地区冶炼亏损，目前电解铝运行产能及产出保持高位，库存低位仍未见累库拐点，下游需求来看，线缆开工及新能源消费板块需求改善明显，传统消费仍为拖累项。氧化铝现货价格涨势放缓，持续关注现货端支撑情况，铝价接近生产高成本支撑，偏多看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818"/>
      <w:r>
        <w:rPr>
          <w:rFonts w:hint="eastAsia" w:ascii="楷体" w:hAnsi="楷体" w:eastAsia="楷体"/>
          <w:b/>
          <w:color w:val="000000" w:themeColor="text1"/>
          <w:sz w:val="24"/>
          <w:szCs w:val="24"/>
          <w14:textFill>
            <w14:solidFill>
              <w14:schemeClr w14:val="tx1"/>
            </w14:solidFill>
          </w14:textFill>
        </w:rPr>
        <w:t>锌：测试前高压力</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增量释放空间有限，进入冬季部分矿山季节性停产，TC加工费低位回升，中游冶炼产量走低，炼厂或延续低位开工争取TC加工费恢复，下游开工率略有改善但幅度有限，黑色板块价格上行带动镀锌企业订单预期向好，交易所库存、社会库存保持低位。基本面供需两弱，供应侧矿端提供支撑，下游需求改善有限限制价格上方空间，锌价区间内偏强震荡运行，测试前高压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689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：强美元继续压制价格，下方空间谨慎</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(1)库存：11月25日，SHFE仓单库存23645吨，减700吨；LME仓单库存270975吨，减1550吨。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(2)精废价差：11月25日，Mysteel精废价差1493，扩张346。目前价差在合理价差1444之上。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元指数延续强势，美联储在降息路径上仍保持缓慢和谨慎。国内接下来重点在12月经济工作会议的政策上，市场情绪及预期对铜价仍有支撑。基本面，进入11月国内下游补库增加，带动库存连续去化，废铜流通仍偏紧，精废价差偏低运行。短期价格在强美元震荡承压，但继续下行空间或有限，维持波动区间7.3-7.5万。操作上，生产企业逢低逐步在原料端锁价。</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126"/>
      <w:r>
        <w:rPr>
          <w:rFonts w:hint="eastAsia" w:ascii="楷体" w:hAnsi="楷体" w:eastAsia="楷体"/>
          <w:b/>
          <w:color w:val="000000" w:themeColor="text1"/>
          <w:sz w:val="24"/>
          <w:szCs w:val="24"/>
          <w14:textFill>
            <w14:solidFill>
              <w14:schemeClr w14:val="tx1"/>
            </w14:solidFill>
          </w14:textFill>
        </w:rPr>
        <w:t>镍：预计镍价反弹空间受限，关注高空机会</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宏观关注点在于12月中旬的中央经济会议，美元指数维持强势，施压有色板块。原料方面，三元材料对上游采购需求不佳，硫酸镍仍处在供需双弱状态，利润维持倒挂。供需方面，精炼镍供应维持增量，传统消费淡季情况下需求难有明显改善，中长期镍价持续处于过剩下行通道，全球库存维持累库趋势。综合而言，国内政策空窗期内，短期宏观情绪易跟随美元指数走势而变化，而过剩格局始终对镍价施压，镍价反弹空间受限，关注高空机会。</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6000"/>
      <w:r>
        <w:rPr>
          <w:rFonts w:hint="eastAsia" w:ascii="楷体" w:hAnsi="楷体" w:eastAsia="楷体"/>
          <w:b/>
          <w:color w:val="000000" w:themeColor="text1"/>
          <w:sz w:val="24"/>
          <w:szCs w:val="24"/>
          <w14:textFill>
            <w14:solidFill>
              <w14:schemeClr w14:val="tx1"/>
            </w14:solidFill>
          </w14:textFill>
        </w:rPr>
        <w:t>锡：震荡企稳，重心或上移</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元指数延续强势，对整体有色仍形成压制。基本面，10月锡矿进口同比-40%，环比+90%，鉴于缅甸佤邦锡矿的进口状况仍存在不确定性，且冶炼厂的原料供应问题日益凸显，仍需密切关注原料市场的最新动态。近期锡价下跌后刺激下游补库需求增加，上周国内锡锭社会库存大幅减少1690吨至8830吨，库存压力明显缓解。预计锡价震荡企稳，重心或将有所上移，波动参考24-25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5817"/>
      <w:r>
        <w:rPr>
          <w:rFonts w:hint="eastAsia" w:ascii="楷体" w:hAnsi="楷体" w:eastAsia="楷体"/>
          <w:b/>
          <w:color w:val="000000" w:themeColor="text1"/>
          <w:sz w:val="24"/>
          <w:szCs w:val="24"/>
          <w14:textFill>
            <w14:solidFill>
              <w14:schemeClr w14:val="tx1"/>
            </w14:solidFill>
          </w14:textFill>
        </w:rPr>
        <w:t>铅：环保管控再袭，预计铅价向下空间有限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铅精矿维持供需偏紧常态；再生铅冶炼厂原料库存处于安全水平。原生铅方面，近期下游接货情绪较好，且在再生铅供应不确定性情况下更倾向采购原生铅；中金岭南等冶炼厂计划开启常规检修。再生铅方面，环保管控反复，限制再生铅供应，其中安徽多市（包含核心产区阜阳）、河源等的重污染天气预警已解除；但仍有部分地区的重污染天气预警仍在持续。需求方面，受宏观政策推动，终端需求暂稳，下游铅蓄电池厂补库需求尚可。库存方面，截止11月25日全国主要市场铅锭社会库存为6.23万吨，较11月21日减少0.42万吨，较11月18日减少1.26万吨。综合而言，主产区安徽地区重污染天气预警解除，但冬天供暖季环保管控频发，再生铅供应存在不确定性，加之下游接货积极，社会库存去化，预计铅价下方空间有限，关注环保限产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9166"/>
      <w:r>
        <w:rPr>
          <w:rFonts w:hint="eastAsia" w:ascii="楷体" w:hAnsi="楷体" w:eastAsia="楷体"/>
          <w:b/>
          <w:color w:val="000000" w:themeColor="text1"/>
          <w:sz w:val="24"/>
          <w:szCs w:val="24"/>
          <w14:textFill>
            <w14:solidFill>
              <w14:schemeClr w14:val="tx1"/>
            </w14:solidFill>
          </w14:textFill>
        </w:rPr>
        <w:t>不锈钢：成本支撑下移，预计期价偏弱运行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据SMM资讯，关于印尼镍矿RKAB配额，2024年已完成批复2.72亿湿吨，12月镍矿内贸升水或边际下降。镍铁方面，负反馈压力下，最新高镍铁采购价（到厂含税）跌至960元/镍。废不锈钢方面，11月25日，华南某厂废不锈钢304钢水（出水96%，镍8%）9200元/吨，较上期价格下调400元/吨。高碳铬铁方面，青山集团12月高碳铬铁长协采购价7395元/50基（现金含税到厂价），环比下跌700元。供需方面，不锈钢厂维持高排产，然而淡季需求表现疲弱，在消化库存、回笼资金等压力下，工厂让利以促进出货，但下游接货情绪不佳。社会库存方面，虽工厂以价换量，但社库去化速度放缓，上周社会总库存970612吨，周环比减0.2%，市场传言将有部分过期仓单流入现货市场，其中，11月约3010吨，12月约16921吨。综合而言，供需基本面维持弱势，镍铁、高碳铬铁及废不锈钢价格皆大幅下跌，成本支撑明显下移，预计不锈钢价格偏弱运行，价格上驱力需要看到钢厂减产、印尼政策变化或宏观刺激。</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065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需求持续疲软，盘面承压下行</w:t>
      </w:r>
      <w:bookmarkEnd w:id="27"/>
    </w:p>
    <w:p>
      <w:pPr>
        <w:ind w:left="630" w:leftChars="300"/>
        <w:rPr>
          <w:rFonts w:ascii="楷体" w:hAnsi="楷体" w:eastAsia="楷体"/>
          <w:sz w:val="24"/>
          <w:szCs w:val="24"/>
        </w:rPr>
      </w:pPr>
      <w:r>
        <w:rPr>
          <w:rFonts w:hint="eastAsia" w:ascii="楷体" w:hAnsi="楷体" w:eastAsia="楷体"/>
          <w:sz w:val="24"/>
          <w:szCs w:val="24"/>
        </w:rPr>
        <w:t>11月25日，Si2501主力合约延续下行走势，收盘价12200元/吨，较上一收盘价涨跌幅-0.57%。从基本面来看，供应呈现北增南减结构性分化，在需求持续疲软情况下，北方库存压力或逐步加大，叠加下周较多老仓单即将集中注销流回现货市场，一定程度上加大库存压力，但也要注意枯水期背景下，盘面估值相对较低，维持底部震荡运行观点，主力合约Si2501参考区间（12100，12900）。策略上，维持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9408"/>
      <w:r>
        <w:rPr>
          <w:rFonts w:hint="eastAsia" w:ascii="楷体" w:hAnsi="楷体" w:eastAsia="楷体"/>
          <w:b/>
          <w:color w:val="000000" w:themeColor="text1"/>
          <w:sz w:val="24"/>
          <w:szCs w:val="24"/>
          <w14:textFill>
            <w14:solidFill>
              <w14:schemeClr w14:val="tx1"/>
            </w14:solidFill>
          </w14:textFill>
        </w:rPr>
        <w:t>螺纹钢：无明显单边驱动，或延续震荡行情</w:t>
      </w:r>
      <w:bookmarkEnd w:id="28"/>
    </w:p>
    <w:p>
      <w:pPr>
        <w:ind w:left="630" w:leftChars="300"/>
        <w:rPr>
          <w:rFonts w:ascii="楷体" w:hAnsi="楷体" w:eastAsia="楷体"/>
          <w:sz w:val="24"/>
          <w:szCs w:val="24"/>
        </w:rPr>
      </w:pPr>
      <w:r>
        <w:rPr>
          <w:rFonts w:hint="eastAsia" w:ascii="楷体" w:hAnsi="楷体" w:eastAsia="楷体"/>
          <w:sz w:val="24"/>
          <w:szCs w:val="24"/>
        </w:rPr>
        <w:t>11月25日，RB2501夜盘收至3311元/吨，较上一收盘价涨跌幅＋0.42%。供应方面，上周螺纹钢产量小幅下降，主要由于西北部分钢厂逐步进入冬休，同时少数钢厂转产热卷等品种;需求方面，表观需求周环比有所增加，建筑钢材日均成交量在12万吨附近，表明总体需求仍有较强韧性，但季节性淡季下较难有明显起色。目前，交易主线由宏观预期逐步转向基本面逻辑，市场暂无明显单边驱动，预期盘面将延续震荡行情。</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256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677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泰南地区降雨增加 天胶有所止跌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由于近期雨水天气阶段性较多，各胶种价格有所回暖，天胶成本支撑尚可。港口库存方面，本周青岛港口延续小幅累库。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场内暂无新的利好出现，预计短时天然橡胶市场震荡寻支撑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7521"/>
      <w:r>
        <w:rPr>
          <w:rFonts w:hint="eastAsia" w:ascii="Times New Roman" w:hAnsi="Times New Roman" w:eastAsia="楷体"/>
          <w:b/>
          <w:color w:val="000000" w:themeColor="text1"/>
          <w:sz w:val="24"/>
          <w:szCs w:val="24"/>
          <w14:textFill>
            <w14:solidFill>
              <w14:schemeClr w14:val="tx1"/>
            </w14:solidFill>
          </w14:textFill>
        </w:rPr>
        <w:t>聚烯烃：聚烯烃随成本端原油波动为主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有报道援引未具名的美国高级官员的话称，以色列和黎巴嫩已经同意了结束以色列-真主党冲突的协议条款，中东地缘政治风险溢价减缓，欧美原油期货下跌了3%左右，聚烯烃成本支撑较弱。近期聚烯烃开工波动幅度不大，PE开工为83.3%，环比-2.2%，PP开工为82.7%，环比+0.7%。库存方面，PE当前总库存仍处于年度同比高位，PP绝对库存压力较PE小，库存压力更多集中于油制生产企业，后续开工回升后仍有进一步的累库预期。下游农膜已至最旺季节，其他下游开工维持，下游刚需补库为主，生产企业与中下游库存缓慢消化。短期在库存去化程度放缓、供需无亮点下预计聚烯烃震荡表现为主，PE向上空间有限。</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7063"/>
      <w:r>
        <w:rPr>
          <w:rFonts w:hint="eastAsia" w:ascii="Times New Roman" w:hAnsi="Times New Roman" w:eastAsia="楷体"/>
          <w:b/>
          <w:color w:val="000000" w:themeColor="text1"/>
          <w:sz w:val="24"/>
          <w:szCs w:val="24"/>
          <w14:textFill>
            <w14:solidFill>
              <w14:schemeClr w14:val="tx1"/>
            </w14:solidFill>
          </w14:textFill>
        </w:rPr>
        <w:t>PTA：供需矛盾暂不突出 跟随成本端波动</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中东方面传出以色列和黎巴嫩就结束冲突达成一致，受到地缘冲突缓和因素影响，油价放量大跌。据最新消息来看，OPEC+会议结果大概率中性或偏空，油价承压。PX 近期开工率有所下滑，面临年度长约签订及PTA开工高位，短线仍有支撑。本周PTA装置变动不大，逸盛新材料720万吨装置提负中，福海创450万吨装置目前提负中，至11.21 PTA负荷提升至81.4%，11月下半月PTA前期检修装置开工恢复。在当前加工费下，PTA后续装置检修计划较少，12月整体供应偏宽松。下游聚酯方面本期一套瓶片装置检修，其他装置负荷微调，截至11.21初步核算国内大陆地区聚酯负荷在92.4%附近，开工高位回落。综合来看，聚酯产业链上下游开工均维持偏高水平，PTA跟随成本端走弱，PTA 2501合约运行区间为4800-5000，供参考。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4245"/>
      <w:r>
        <w:rPr>
          <w:rFonts w:hint="eastAsia" w:ascii="Times New Roman" w:hAnsi="Times New Roman" w:eastAsia="楷体"/>
          <w:b/>
          <w:color w:val="000000" w:themeColor="text1"/>
          <w:sz w:val="24"/>
          <w:szCs w:val="24"/>
          <w14:textFill>
            <w14:solidFill>
              <w14:schemeClr w14:val="tx1"/>
            </w14:solidFill>
          </w14:textFill>
        </w:rPr>
        <w:t>乙二醇：供应恢复及终端趋弱 二醇走势承压</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11.18华东主港地区MEG港口库存约62.8万吨附近，环比上周+3.2万吨。截至11月21日，中国大陆地区乙二醇整体开工负荷在72.59%（+1.56%），其中草酸催化加氢法（合成气）制乙二醇开工负荷在69.94%（-0.53%）。本周新疆天业、寿阳满负荷运行中，榆能化学、中昆等装置12月也将重启，后续乙二醇国产量将逐步增加。另外后期环氧需求转弱下，联产装置将进行产品切换，从而增加乙二醇产出。乙二醇整体供应呈现增量，供应压力将逐步兑现。下游聚酯开工情况来看，聚酯端负荷整体保持良好，截至11.21初步核算国内大陆地区聚酯负荷在92.4%高位附近。终端开工情况来看，截止11.22江浙下游加弹、织造、印染负荷分别在91%（-2%）、72%（-9%）、83%（-5%），开工下降明显，坯布环节累库。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21547"/>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1914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淀粉-玉米价差继续小幅收窄</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呈现稳中分化态势，华北产区先抑后扬，东北产区稳中调整，北方港口稳中偏弱，南方港口则稳中有涨；玉米期价自周五夜盘以来先扬后抑，全天小幅收涨。对于玉米而言，随着西北、华北和东北三地触底回升，新作压力最大的时候或已经过去，这是期价维持升水并相对抗跌的主要原因所在，与此同时，期价升水亦需要现货上涨来给予正向反馈，考虑到深加工企业和北方港口库存持续回升，接下来现货上涨就更多指望国储收购和饲料养殖企业补库两个方向。综上所述，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偏弱，部分地区下跌10-30元不等，淀粉期价相对弱于玉米，淀粉-玉米价差继续小幅收窄。对于淀粉而言，近期淀粉-玉米价差略有收窄，主要源于原料成本端即华北-东北玉米价差收窄，而行业供需端因行业库存受出库量带动而出现下降，副产品端受蛋白粕带动而再度走弱。考虑到淀粉基差高企，而盘面生产利润转负，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9498"/>
      <w:r>
        <w:rPr>
          <w:rFonts w:hint="eastAsia" w:ascii="楷体" w:hAnsi="楷体" w:eastAsia="楷体"/>
          <w:b/>
          <w:bCs/>
          <w:color w:val="000000" w:themeColor="text1"/>
          <w14:textFill>
            <w14:solidFill>
              <w14:schemeClr w14:val="tx1"/>
            </w14:solidFill>
          </w14:textFill>
        </w:rPr>
        <w:t>畜禽养殖：生猪基差走强</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多有上涨，全国均价上涨0.27元至16.61元/公斤；期价窄幅震荡，各合约收盘变动不大。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由于市场对节后的悲观预期，加上过去两年春节前下跌的阴影，养殖户倾向于提前出栏以规避节后下跌风险，在这种情况下，短期重点留意需求季节性改善情况，中期机会在于供需预期偏差。综上所述，我们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周末以来稳中有涨，其中主产区均价上涨0.02元至4.30元/斤，主销区均价持平在4.47元/斤；期价表现分化，近月受现货带动多有上涨，而远月则多震荡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投资者转向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5416"/>
      <w:r>
        <w:rPr>
          <w:rFonts w:hint="eastAsia" w:ascii="楷体" w:hAnsi="楷体" w:eastAsia="楷体"/>
          <w:b/>
          <w:bCs/>
          <w:color w:val="000000" w:themeColor="text1"/>
          <w14:textFill>
            <w14:solidFill>
              <w14:schemeClr w14:val="tx1"/>
            </w14:solidFill>
          </w14:textFill>
        </w:rPr>
        <w:t>白糖：内外糖价高位区间宽幅震荡整理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隔日外盘，ICE原糖11号主力合约下跌0.98%，伦敦白砂糖主力合约下跌1.41%。夜盘郑糖2501主力合约上涨0.02%。巴西对外贸易秘书处（ Secex ）公布的出口数据显示，巴西11月前四周出口糖2,500,922.98吨，日均出口量为178,637.36吨，较上年11月全月的日均出口量182,216.40吨减少2%。国内丰产预期压制，反弹高度受限，但进口成本较高，整体仍为震荡走势。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23418"/>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隔日外盘，ICE美棉主力上涨1.30%。夜盘郑棉2501主力合约上涨0.25%。美国农业部（ USDA )在每周作物生长报告中公布称，截至2024年11月24日当周，美国棉花收割率为84%，前一周为77%，去年同期为81%，五年均值为80%。本年度新疆棉花丰产，产量预计同比增加5%-7%，近期集中上市，供应充沛。籽棉收购价相对稳定，集中在6.1-6.4元/公斤区间。轧花厂依然持谨慎态度，风险偏好低。金九银十结束，纺织织布开机率迅速下滑，尤其布厂开机率已下滑至年度低点。预计短期内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8943"/>
      <w:r>
        <w:rPr>
          <w:rFonts w:hint="eastAsia" w:ascii="楷体" w:hAnsi="楷体" w:eastAsia="楷体"/>
          <w:b/>
          <w:bCs/>
          <w:color w:val="000000" w:themeColor="text1"/>
          <w14:textFill>
            <w14:solidFill>
              <w14:schemeClr w14:val="tx1"/>
            </w14:solidFill>
          </w14:textFill>
        </w:rPr>
        <w:t>蛋白粕：周度库存小幅去化，期价震荡运行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0.28%，国内夜盘豆二下跌0.03%，豆粕上涨0.04%；菜籽上涨1.91%，菜粕下跌0.09%。据钢联调查数据显示，第47周全国主要油厂大豆库存下降，豆粕库存下降，未执行合同下降。其中大豆库存511.05万吨，环比减幅3.68%，同比增幅4.70%；豆粕库存77.04万吨，环比减幅1.05%，同比增幅7.60%；豆粕表观消费量为156.8万吨，环比增幅0.23%，同比增幅4.35%。豆粕小幅去库，供应宽松背景下震荡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7443"/>
      <w:r>
        <w:rPr>
          <w:rFonts w:hint="eastAsia" w:ascii="楷体" w:hAnsi="楷体" w:eastAsia="楷体"/>
          <w:b/>
          <w:bCs/>
          <w:color w:val="000000" w:themeColor="text1"/>
          <w14:textFill>
            <w14:solidFill>
              <w14:schemeClr w14:val="tx1"/>
            </w14:solidFill>
          </w14:textFill>
        </w:rPr>
        <w:t>油脂类：三大油脂库存持续去化，棕油依旧表现最强</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0.37%，菜油下跌0.98%，棕榈油上涨0.94%。据Mysteel调研显示，截至11月22日，全国重点地区三大油脂商业库存总量为197.10万吨，较上周减少2.61万吨，跌幅1.31%；同比去年同期下降28.35万吨，跌幅12.57%。油脂整体库存压力不大。GAPKI最新数据显示，印尼9月棕榈油出口环比下滑22%，产量环比微增0.89%，库存环比升高23.3%。印尼棕榈油供需数据偏空，不过减产周期下，产地供应偏少给予行情支撑；国内棕榈油受进口成本反弹支撑，现货价格稳中有涨，近端供给偏紧但下游依旧以刚需采购为主，库存保持低位运行。</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28101"/>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28208"/>
      <w:r>
        <w:rPr>
          <w:rFonts w:hint="eastAsia" w:ascii="Times New Roman" w:hAnsi="Times New Roman" w:eastAsia="楷体"/>
          <w:b/>
          <w:color w:val="000000" w:themeColor="text1"/>
          <w:sz w:val="24"/>
          <w:szCs w:val="24"/>
          <w14:textFill>
            <w14:solidFill>
              <w14:schemeClr w14:val="tx1"/>
            </w14:solidFill>
          </w14:textFill>
        </w:rPr>
        <w:t>集运指数（欧线）：运价指数下跌，期价窄幅震荡</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主力02合约跌0.37%至3224.1，周内累计上涨1.23%。即期运价走势方面，11月22日，上海航运交易所发布的上海出口集装箱综合运价指数为2160.08点，较上期下跌4.1%。11月22日，上海港出口至欧洲基本港市场运价（海运及海运附加费）为2481美元/TEU，较上期下跌1.2%。11月22日，上海港出口至地中海基本港市场运价（海运及海运附加费）为3071美元/TEU，较上期微跌0.3%。据船视宝数据，本周集装箱活跃运力总计5657艘，共28415703TEU，艘数环比增加1.33%，TEU环比增加1.19%；停航运力总计389艘，共1397734TEU，艘数环比减少15.62%，TEU环比减少19.17%。德鲁里停航数据显示，从11.25至12.29的第48-52周，主要贸易航线的取消率为10%；分航线而言，跨太平洋东行航线取消的航次最多，占比50%，亚洲至北欧和地中海航线占23%，跨大西洋西行航线占27%；分海运联盟而言，第46-50周OA联盟取消14航次，TA取消14航次，2M取消14航次，非联盟船司取消28航次。近期运力预期略微上调，船司12月报价陆续提涨但仍有待验证，期价或区间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2779"/>
      <w:bookmarkStart w:id="46" w:name="_Toc98426751"/>
      <w:bookmarkStart w:id="47" w:name="_Toc72481108"/>
      <w:bookmarkStart w:id="48" w:name="_Toc19667"/>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2024年11月26日星期二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0E1A53"/>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A2382D"/>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42021E"/>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404F8E"/>
    <w:rsid w:val="47752ACA"/>
    <w:rsid w:val="477D75D8"/>
    <w:rsid w:val="47A71483"/>
    <w:rsid w:val="47C813F2"/>
    <w:rsid w:val="48352178"/>
    <w:rsid w:val="489B63EF"/>
    <w:rsid w:val="48D7317F"/>
    <w:rsid w:val="48F92B23"/>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09613D"/>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2024-11-26T02:08:44Z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