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9" w:name="_GoBack"/>
          <w:bookmarkEnd w:id="49"/>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_Toc7437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_Toc18178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_Toc30634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_Toc9165 </w:instrText>
          </w:r>
          <w:r>
            <w:rPr>
              <w:bCs/>
            </w:rPr>
            <w:fldChar w:fldCharType="separate"/>
          </w:r>
          <w:r>
            <w:rPr>
              <w:rFonts w:hint="eastAsia" w:ascii="Times New Roman" w:hAnsi="Times New Roman" w:eastAsia="楷体"/>
              <w:szCs w:val="24"/>
            </w:rPr>
            <w:t>贵金属：静待美国PMI数据公布，贵金属价格尾盘反弹</w:t>
          </w:r>
          <w:r>
            <w:rPr>
              <w:bCs/>
            </w:rPr>
            <w:fldChar w:fldCharType="end"/>
          </w:r>
        </w:p>
        <w:p>
          <w:pPr>
            <w:pStyle w:val="59"/>
            <w:tabs>
              <w:tab w:val="right" w:leader="dot" w:pos="8306"/>
            </w:tabs>
          </w:pPr>
          <w:r>
            <w:rPr>
              <w:bCs/>
            </w:rPr>
            <w:fldChar w:fldCharType="begin"/>
          </w:r>
          <w:r>
            <w:rPr>
              <w:bCs/>
            </w:rPr>
            <w:instrText xml:space="preserve"> HYPERLINK \l _Toc18433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_Toc30911 </w:instrText>
          </w:r>
          <w:r>
            <w:rPr>
              <w:bCs/>
            </w:rPr>
            <w:fldChar w:fldCharType="separate"/>
          </w:r>
          <w:r>
            <w:rPr>
              <w:rFonts w:hint="eastAsia" w:ascii="楷体" w:hAnsi="楷体" w:eastAsia="楷体"/>
              <w:szCs w:val="24"/>
            </w:rPr>
            <w:t>碳酸锂：周度产量维持小幅反弹，主力期价尾盘微涨</w:t>
          </w:r>
          <w:r>
            <w:rPr>
              <w:bCs/>
            </w:rPr>
            <w:fldChar w:fldCharType="end"/>
          </w:r>
        </w:p>
        <w:p>
          <w:pPr>
            <w:pStyle w:val="74"/>
            <w:tabs>
              <w:tab w:val="right" w:leader="dot" w:pos="8306"/>
            </w:tabs>
          </w:pPr>
          <w:r>
            <w:rPr>
              <w:bCs/>
            </w:rPr>
            <w:fldChar w:fldCharType="begin"/>
          </w:r>
          <w:r>
            <w:rPr>
              <w:bCs/>
            </w:rPr>
            <w:instrText xml:space="preserve"> HYPERLINK \l _Toc2273 </w:instrText>
          </w:r>
          <w:r>
            <w:rPr>
              <w:bCs/>
            </w:rPr>
            <w:fldChar w:fldCharType="separate"/>
          </w:r>
          <w:r>
            <w:rPr>
              <w:rFonts w:hint="eastAsia" w:ascii="楷体" w:hAnsi="楷体" w:eastAsia="楷体"/>
              <w:szCs w:val="24"/>
            </w:rPr>
            <w:t>铝：氧化铝现货价支撑期价难跌，铝价低位震荡实际下方空间有限</w:t>
          </w:r>
          <w:r>
            <w:rPr>
              <w:bCs/>
            </w:rPr>
            <w:fldChar w:fldCharType="end"/>
          </w:r>
        </w:p>
        <w:p>
          <w:pPr>
            <w:pStyle w:val="74"/>
            <w:tabs>
              <w:tab w:val="right" w:leader="dot" w:pos="8306"/>
            </w:tabs>
          </w:pPr>
          <w:r>
            <w:rPr>
              <w:bCs/>
            </w:rPr>
            <w:fldChar w:fldCharType="begin"/>
          </w:r>
          <w:r>
            <w:rPr>
              <w:bCs/>
            </w:rPr>
            <w:instrText xml:space="preserve"> HYPERLINK \l _Toc16918 </w:instrText>
          </w:r>
          <w:r>
            <w:rPr>
              <w:bCs/>
            </w:rPr>
            <w:fldChar w:fldCharType="separate"/>
          </w:r>
          <w:r>
            <w:rPr>
              <w:rFonts w:hint="eastAsia" w:ascii="楷体" w:hAnsi="楷体" w:eastAsia="楷体"/>
              <w:szCs w:val="24"/>
            </w:rPr>
            <w:t>锌：需求疲软限制锌价上方想象空间</w:t>
          </w:r>
          <w:r>
            <w:rPr>
              <w:bCs/>
            </w:rPr>
            <w:fldChar w:fldCharType="end"/>
          </w:r>
        </w:p>
        <w:p>
          <w:pPr>
            <w:pStyle w:val="74"/>
            <w:tabs>
              <w:tab w:val="right" w:leader="dot" w:pos="8306"/>
            </w:tabs>
          </w:pPr>
          <w:r>
            <w:rPr>
              <w:bCs/>
            </w:rPr>
            <w:fldChar w:fldCharType="begin"/>
          </w:r>
          <w:r>
            <w:rPr>
              <w:bCs/>
            </w:rPr>
            <w:instrText xml:space="preserve"> HYPERLINK \l _Toc10134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：震荡偏多</w:t>
          </w:r>
          <w:r>
            <w:rPr>
              <w:bCs/>
            </w:rPr>
            <w:fldChar w:fldCharType="end"/>
          </w:r>
        </w:p>
        <w:p>
          <w:pPr>
            <w:pStyle w:val="74"/>
            <w:tabs>
              <w:tab w:val="right" w:leader="dot" w:pos="8306"/>
            </w:tabs>
          </w:pPr>
          <w:r>
            <w:rPr>
              <w:bCs/>
            </w:rPr>
            <w:fldChar w:fldCharType="begin"/>
          </w:r>
          <w:r>
            <w:rPr>
              <w:bCs/>
            </w:rPr>
            <w:instrText xml:space="preserve"> HYPERLINK \l _Toc6631 </w:instrText>
          </w:r>
          <w:r>
            <w:rPr>
              <w:bCs/>
            </w:rPr>
            <w:fldChar w:fldCharType="separate"/>
          </w:r>
          <w:r>
            <w:rPr>
              <w:rFonts w:hint="eastAsia" w:ascii="楷体" w:hAnsi="楷体" w:eastAsia="楷体"/>
              <w:szCs w:val="24"/>
            </w:rPr>
            <w:t>镍：维持逢高沽空思路，关注印尼RKAB重新审查情况</w:t>
          </w:r>
          <w:r>
            <w:rPr>
              <w:bCs/>
            </w:rPr>
            <w:fldChar w:fldCharType="end"/>
          </w:r>
        </w:p>
        <w:p>
          <w:pPr>
            <w:pStyle w:val="74"/>
            <w:tabs>
              <w:tab w:val="right" w:leader="dot" w:pos="8306"/>
            </w:tabs>
          </w:pPr>
          <w:r>
            <w:rPr>
              <w:bCs/>
            </w:rPr>
            <w:fldChar w:fldCharType="begin"/>
          </w:r>
          <w:r>
            <w:rPr>
              <w:bCs/>
            </w:rPr>
            <w:instrText xml:space="preserve"> HYPERLINK \l _Toc6131 </w:instrText>
          </w:r>
          <w:r>
            <w:rPr>
              <w:bCs/>
            </w:rPr>
            <w:fldChar w:fldCharType="separate"/>
          </w:r>
          <w:r>
            <w:rPr>
              <w:rFonts w:hint="eastAsia" w:ascii="楷体" w:hAnsi="楷体" w:eastAsia="楷体"/>
              <w:szCs w:val="24"/>
            </w:rPr>
            <w:t>锡：偏震荡企稳</w:t>
          </w:r>
          <w:r>
            <w:rPr>
              <w:bCs/>
            </w:rPr>
            <w:fldChar w:fldCharType="end"/>
          </w:r>
        </w:p>
        <w:p>
          <w:pPr>
            <w:pStyle w:val="74"/>
            <w:tabs>
              <w:tab w:val="right" w:leader="dot" w:pos="8306"/>
            </w:tabs>
          </w:pPr>
          <w:r>
            <w:rPr>
              <w:bCs/>
            </w:rPr>
            <w:fldChar w:fldCharType="begin"/>
          </w:r>
          <w:r>
            <w:rPr>
              <w:bCs/>
            </w:rPr>
            <w:instrText xml:space="preserve"> HYPERLINK \l _Toc9862 </w:instrText>
          </w:r>
          <w:r>
            <w:rPr>
              <w:bCs/>
            </w:rPr>
            <w:fldChar w:fldCharType="separate"/>
          </w:r>
          <w:r>
            <w:rPr>
              <w:rFonts w:hint="eastAsia" w:ascii="楷体" w:hAnsi="楷体" w:eastAsia="楷体"/>
              <w:szCs w:val="24"/>
            </w:rPr>
            <w:t>铅：氧化铝现货价支撑期价难跌，铝价低位震荡实际下方空间有限</w:t>
          </w:r>
          <w:r>
            <w:rPr>
              <w:bCs/>
            </w:rPr>
            <w:fldChar w:fldCharType="end"/>
          </w:r>
        </w:p>
        <w:p>
          <w:pPr>
            <w:pStyle w:val="74"/>
            <w:tabs>
              <w:tab w:val="right" w:leader="dot" w:pos="8306"/>
            </w:tabs>
          </w:pPr>
          <w:r>
            <w:rPr>
              <w:bCs/>
            </w:rPr>
            <w:fldChar w:fldCharType="begin"/>
          </w:r>
          <w:r>
            <w:rPr>
              <w:bCs/>
            </w:rPr>
            <w:instrText xml:space="preserve"> HYPERLINK \l _Toc2459 </w:instrText>
          </w:r>
          <w:r>
            <w:rPr>
              <w:bCs/>
            </w:rPr>
            <w:fldChar w:fldCharType="separate"/>
          </w:r>
          <w:r>
            <w:rPr>
              <w:rFonts w:hint="eastAsia" w:ascii="楷体" w:hAnsi="楷体" w:eastAsia="楷体"/>
              <w:szCs w:val="24"/>
            </w:rPr>
            <w:t>不锈钢：低位震荡，关注减产情况</w:t>
          </w:r>
          <w:r>
            <w:rPr>
              <w:bCs/>
            </w:rPr>
            <w:fldChar w:fldCharType="end"/>
          </w:r>
        </w:p>
        <w:p>
          <w:pPr>
            <w:pStyle w:val="74"/>
            <w:tabs>
              <w:tab w:val="right" w:leader="dot" w:pos="8306"/>
            </w:tabs>
          </w:pPr>
          <w:r>
            <w:rPr>
              <w:bCs/>
            </w:rPr>
            <w:fldChar w:fldCharType="begin"/>
          </w:r>
          <w:r>
            <w:rPr>
              <w:bCs/>
            </w:rPr>
            <w:instrText xml:space="preserve"> HYPERLINK \l _Toc31005 </w:instrText>
          </w:r>
          <w:r>
            <w:rPr>
              <w:bCs/>
            </w:rPr>
            <w:fldChar w:fldCharType="separate"/>
          </w:r>
          <w:r>
            <w:rPr>
              <w:rFonts w:hint="eastAsia" w:ascii="楷体" w:hAnsi="楷体" w:eastAsia="楷体"/>
              <w:szCs w:val="24"/>
            </w:rPr>
            <w:t>工业硅：北方大厂减产超预期，有望提振市场情绪</w:t>
          </w:r>
          <w:r>
            <w:rPr>
              <w:bCs/>
            </w:rPr>
            <w:fldChar w:fldCharType="end"/>
          </w:r>
        </w:p>
        <w:p>
          <w:pPr>
            <w:pStyle w:val="74"/>
            <w:tabs>
              <w:tab w:val="right" w:leader="dot" w:pos="8306"/>
            </w:tabs>
          </w:pPr>
          <w:r>
            <w:rPr>
              <w:bCs/>
            </w:rPr>
            <w:fldChar w:fldCharType="begin"/>
          </w:r>
          <w:r>
            <w:rPr>
              <w:bCs/>
            </w:rPr>
            <w:instrText xml:space="preserve"> HYPERLINK \l _Toc20675 </w:instrText>
          </w:r>
          <w:r>
            <w:rPr>
              <w:bCs/>
            </w:rPr>
            <w:fldChar w:fldCharType="separate"/>
          </w:r>
          <w:r>
            <w:rPr>
              <w:rFonts w:hint="eastAsia" w:ascii="楷体" w:hAnsi="楷体" w:eastAsia="楷体"/>
              <w:szCs w:val="24"/>
            </w:rPr>
            <w:t>螺纹钢：供需压力未改善，维持震荡看待</w:t>
          </w:r>
          <w:r>
            <w:rPr>
              <w:bCs/>
            </w:rPr>
            <w:fldChar w:fldCharType="end"/>
          </w:r>
        </w:p>
        <w:p>
          <w:pPr>
            <w:pStyle w:val="59"/>
            <w:tabs>
              <w:tab w:val="right" w:leader="dot" w:pos="8306"/>
            </w:tabs>
          </w:pPr>
          <w:r>
            <w:rPr>
              <w:bCs/>
            </w:rPr>
            <w:fldChar w:fldCharType="begin"/>
          </w:r>
          <w:r>
            <w:rPr>
              <w:bCs/>
            </w:rPr>
            <w:instrText xml:space="preserve"> HYPERLINK \l _Toc17917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_Toc26044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原料回暖 天胶偏强运行为主</w:t>
          </w:r>
          <w:r>
            <w:rPr>
              <w:bCs/>
            </w:rPr>
            <w:fldChar w:fldCharType="end"/>
          </w:r>
        </w:p>
        <w:p>
          <w:pPr>
            <w:pStyle w:val="74"/>
            <w:tabs>
              <w:tab w:val="right" w:leader="dot" w:pos="8306"/>
            </w:tabs>
          </w:pPr>
          <w:r>
            <w:rPr>
              <w:bCs/>
            </w:rPr>
            <w:fldChar w:fldCharType="begin"/>
          </w:r>
          <w:r>
            <w:rPr>
              <w:bCs/>
            </w:rPr>
            <w:instrText xml:space="preserve"> HYPERLINK \l _Toc27757 </w:instrText>
          </w:r>
          <w:r>
            <w:rPr>
              <w:bCs/>
            </w:rPr>
            <w:fldChar w:fldCharType="separate"/>
          </w:r>
          <w:r>
            <w:rPr>
              <w:rFonts w:hint="eastAsia" w:ascii="Times New Roman" w:hAnsi="Times New Roman" w:eastAsia="楷体"/>
              <w:szCs w:val="24"/>
            </w:rPr>
            <w:t>聚烯烃：供需矛盾不明显 维持区间震荡表现为主</w:t>
          </w:r>
          <w:r>
            <w:rPr>
              <w:bCs/>
            </w:rPr>
            <w:fldChar w:fldCharType="end"/>
          </w:r>
        </w:p>
        <w:p>
          <w:pPr>
            <w:pStyle w:val="74"/>
            <w:tabs>
              <w:tab w:val="right" w:leader="dot" w:pos="8306"/>
            </w:tabs>
          </w:pPr>
          <w:r>
            <w:rPr>
              <w:bCs/>
            </w:rPr>
            <w:fldChar w:fldCharType="begin"/>
          </w:r>
          <w:r>
            <w:rPr>
              <w:bCs/>
            </w:rPr>
            <w:instrText xml:space="preserve"> HYPERLINK \l _Toc14848 </w:instrText>
          </w:r>
          <w:r>
            <w:rPr>
              <w:bCs/>
            </w:rPr>
            <w:fldChar w:fldCharType="separate"/>
          </w:r>
          <w:r>
            <w:rPr>
              <w:rFonts w:hint="eastAsia" w:ascii="Times New Roman" w:hAnsi="Times New Roman" w:eastAsia="楷体"/>
              <w:szCs w:val="24"/>
            </w:rPr>
            <w:t>PTA：供需转弱预期 跟随成本端下行</w:t>
          </w:r>
          <w:r>
            <w:rPr>
              <w:bCs/>
            </w:rPr>
            <w:fldChar w:fldCharType="end"/>
          </w:r>
        </w:p>
        <w:p>
          <w:pPr>
            <w:pStyle w:val="74"/>
            <w:tabs>
              <w:tab w:val="right" w:leader="dot" w:pos="8306"/>
            </w:tabs>
          </w:pPr>
          <w:r>
            <w:rPr>
              <w:bCs/>
            </w:rPr>
            <w:fldChar w:fldCharType="begin"/>
          </w:r>
          <w:r>
            <w:rPr>
              <w:bCs/>
            </w:rPr>
            <w:instrText xml:space="preserve"> HYPERLINK \l _Toc12806 </w:instrText>
          </w:r>
          <w:r>
            <w:rPr>
              <w:bCs/>
            </w:rPr>
            <w:fldChar w:fldCharType="separate"/>
          </w:r>
          <w:r>
            <w:rPr>
              <w:rFonts w:hint="eastAsia" w:ascii="Times New Roman" w:hAnsi="Times New Roman" w:eastAsia="楷体"/>
              <w:szCs w:val="24"/>
            </w:rPr>
            <w:t>乙二醇：供应恢复及终端趋弱 二醇走势承压</w:t>
          </w:r>
          <w:r>
            <w:rPr>
              <w:bCs/>
            </w:rPr>
            <w:fldChar w:fldCharType="end"/>
          </w:r>
        </w:p>
        <w:p>
          <w:pPr>
            <w:pStyle w:val="59"/>
            <w:tabs>
              <w:tab w:val="right" w:leader="dot" w:pos="8306"/>
            </w:tabs>
          </w:pPr>
          <w:r>
            <w:rPr>
              <w:bCs/>
            </w:rPr>
            <w:fldChar w:fldCharType="begin"/>
          </w:r>
          <w:r>
            <w:rPr>
              <w:bCs/>
            </w:rPr>
            <w:instrText xml:space="preserve"> HYPERLINK \l _Toc22181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_Toc30175 </w:instrText>
          </w:r>
          <w:r>
            <w:rPr>
              <w:bCs/>
            </w:rPr>
            <w:fldChar w:fldCharType="separate"/>
          </w:r>
          <w:r>
            <w:rPr>
              <w:rFonts w:hint="eastAsia" w:ascii="楷体" w:hAnsi="楷体" w:eastAsia="楷体"/>
              <w:bCs/>
            </w:rPr>
            <w:t>玉米与淀粉：</w:t>
          </w:r>
          <w:r>
            <w:rPr>
              <w:rFonts w:hint="eastAsia" w:ascii="楷体" w:hAnsi="楷体" w:eastAsia="楷体"/>
            </w:rPr>
            <w:t>周末现货稳中偏弱</w:t>
          </w:r>
          <w:r>
            <w:rPr>
              <w:bCs/>
            </w:rPr>
            <w:fldChar w:fldCharType="end"/>
          </w:r>
        </w:p>
        <w:p>
          <w:pPr>
            <w:pStyle w:val="74"/>
            <w:tabs>
              <w:tab w:val="right" w:leader="dot" w:pos="8306"/>
            </w:tabs>
          </w:pPr>
          <w:r>
            <w:rPr>
              <w:bCs/>
            </w:rPr>
            <w:fldChar w:fldCharType="begin"/>
          </w:r>
          <w:r>
            <w:rPr>
              <w:bCs/>
            </w:rPr>
            <w:instrText xml:space="preserve"> HYPERLINK \l _Toc5983 </w:instrText>
          </w:r>
          <w:r>
            <w:rPr>
              <w:bCs/>
            </w:rPr>
            <w:fldChar w:fldCharType="separate"/>
          </w:r>
          <w:r>
            <w:rPr>
              <w:rFonts w:hint="eastAsia" w:ascii="楷体" w:hAnsi="楷体" w:eastAsia="楷体"/>
              <w:bCs/>
            </w:rPr>
            <w:t>畜禽养殖：生猪现货周末回落</w:t>
          </w:r>
          <w:r>
            <w:rPr>
              <w:bCs/>
            </w:rPr>
            <w:fldChar w:fldCharType="end"/>
          </w:r>
        </w:p>
        <w:p>
          <w:pPr>
            <w:pStyle w:val="74"/>
            <w:tabs>
              <w:tab w:val="right" w:leader="dot" w:pos="8306"/>
            </w:tabs>
          </w:pPr>
          <w:r>
            <w:rPr>
              <w:bCs/>
            </w:rPr>
            <w:fldChar w:fldCharType="begin"/>
          </w:r>
          <w:r>
            <w:rPr>
              <w:bCs/>
            </w:rPr>
            <w:instrText xml:space="preserve"> HYPERLINK \l _Toc524 </w:instrText>
          </w:r>
          <w:r>
            <w:rPr>
              <w:bCs/>
            </w:rPr>
            <w:fldChar w:fldCharType="separate"/>
          </w:r>
          <w:r>
            <w:rPr>
              <w:rFonts w:hint="eastAsia" w:ascii="楷体" w:hAnsi="楷体" w:eastAsia="楷体"/>
              <w:bCs/>
            </w:rPr>
            <w:t>白糖：近月震荡偏强</w:t>
          </w:r>
          <w:r>
            <w:rPr>
              <w:bCs/>
            </w:rPr>
            <w:fldChar w:fldCharType="end"/>
          </w:r>
        </w:p>
        <w:p>
          <w:pPr>
            <w:pStyle w:val="74"/>
            <w:tabs>
              <w:tab w:val="right" w:leader="dot" w:pos="8306"/>
            </w:tabs>
          </w:pPr>
          <w:r>
            <w:rPr>
              <w:bCs/>
            </w:rPr>
            <w:fldChar w:fldCharType="begin"/>
          </w:r>
          <w:r>
            <w:rPr>
              <w:bCs/>
            </w:rPr>
            <w:instrText xml:space="preserve"> HYPERLINK \l _Toc11883 </w:instrText>
          </w:r>
          <w:r>
            <w:rPr>
              <w:bCs/>
            </w:rPr>
            <w:fldChar w:fldCharType="separate"/>
          </w:r>
          <w:r>
            <w:rPr>
              <w:rFonts w:hint="eastAsia" w:ascii="楷体" w:hAnsi="楷体" w:eastAsia="楷体"/>
              <w:bCs/>
            </w:rPr>
            <w:t>棉花：</w:t>
          </w:r>
          <w:r>
            <w:rPr>
              <w:rFonts w:hint="eastAsia" w:ascii="楷体" w:hAnsi="楷体" w:eastAsia="楷体"/>
              <w:bCs/>
              <w:lang w:val="en-US" w:eastAsia="zh-CN"/>
            </w:rPr>
            <w:t>外盘继续走强，郑棉偏强震荡</w:t>
          </w:r>
          <w:r>
            <w:rPr>
              <w:bCs/>
            </w:rPr>
            <w:fldChar w:fldCharType="end"/>
          </w:r>
        </w:p>
        <w:p>
          <w:pPr>
            <w:pStyle w:val="74"/>
            <w:tabs>
              <w:tab w:val="right" w:leader="dot" w:pos="8306"/>
            </w:tabs>
          </w:pPr>
          <w:r>
            <w:rPr>
              <w:bCs/>
            </w:rPr>
            <w:fldChar w:fldCharType="begin"/>
          </w:r>
          <w:r>
            <w:rPr>
              <w:bCs/>
            </w:rPr>
            <w:instrText xml:space="preserve"> HYPERLINK \l _Toc5707 </w:instrText>
          </w:r>
          <w:r>
            <w:rPr>
              <w:bCs/>
            </w:rPr>
            <w:fldChar w:fldCharType="separate"/>
          </w:r>
          <w:r>
            <w:rPr>
              <w:rFonts w:hint="eastAsia" w:ascii="楷体" w:hAnsi="楷体" w:eastAsia="楷体"/>
              <w:bCs/>
            </w:rPr>
            <w:t>蛋白粕：需求无起色，偏弱对待</w:t>
          </w:r>
          <w:r>
            <w:rPr>
              <w:bCs/>
            </w:rPr>
            <w:fldChar w:fldCharType="end"/>
          </w:r>
        </w:p>
        <w:p>
          <w:pPr>
            <w:pStyle w:val="74"/>
            <w:tabs>
              <w:tab w:val="right" w:leader="dot" w:pos="8306"/>
            </w:tabs>
          </w:pPr>
          <w:r>
            <w:rPr>
              <w:bCs/>
            </w:rPr>
            <w:fldChar w:fldCharType="begin"/>
          </w:r>
          <w:r>
            <w:rPr>
              <w:bCs/>
            </w:rPr>
            <w:instrText xml:space="preserve"> HYPERLINK \l _Toc16679 </w:instrText>
          </w:r>
          <w:r>
            <w:rPr>
              <w:bCs/>
            </w:rPr>
            <w:fldChar w:fldCharType="separate"/>
          </w:r>
          <w:r>
            <w:rPr>
              <w:rFonts w:hint="eastAsia" w:ascii="楷体" w:hAnsi="楷体" w:eastAsia="楷体"/>
              <w:bCs/>
            </w:rPr>
            <w:t>油脂类：油脂走势分化，棕油依旧强劲</w:t>
          </w:r>
          <w:r>
            <w:rPr>
              <w:bCs/>
            </w:rPr>
            <w:fldChar w:fldCharType="end"/>
          </w:r>
        </w:p>
        <w:p>
          <w:pPr>
            <w:pStyle w:val="59"/>
            <w:tabs>
              <w:tab w:val="right" w:leader="dot" w:pos="8306"/>
            </w:tabs>
          </w:pPr>
          <w:r>
            <w:rPr>
              <w:bCs/>
            </w:rPr>
            <w:fldChar w:fldCharType="begin"/>
          </w:r>
          <w:r>
            <w:rPr>
              <w:bCs/>
            </w:rPr>
            <w:instrText xml:space="preserve"> HYPERLINK \l _Toc23755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_Toc10791 </w:instrText>
          </w:r>
          <w:r>
            <w:rPr>
              <w:bCs/>
            </w:rPr>
            <w:fldChar w:fldCharType="separate"/>
          </w:r>
          <w:r>
            <w:rPr>
              <w:rFonts w:hint="eastAsia" w:ascii="Times New Roman" w:hAnsi="Times New Roman" w:eastAsia="楷体"/>
              <w:szCs w:val="24"/>
            </w:rPr>
            <w:t>集运指数（欧线）：运价指数上涨，期价下跌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743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817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前期海外不确定性攀升、汇率承压与政策空窗期背景下，市场情绪有所回落，目前出现边际改善。年底中央经济工作会议前或是市场乐观预期容易发酵的窗口，“政策效果验证+政策再发力”的预期会使得市场出现结构性机会，而交易型资金基于顺势而为的角度，也会给市场增加活跃度。但后续市场或逐步向基本面验证回归，也会开始更为客观的评估政策影响，使得行情出现震荡反复。市场或围绕沪指（3100，3400）震荡偏强运行，可在震荡区间做IM波段。</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063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9165"/>
      <w:r>
        <w:rPr>
          <w:rFonts w:hint="eastAsia" w:ascii="Times New Roman" w:hAnsi="Times New Roman" w:eastAsia="楷体"/>
          <w:b/>
          <w:color w:val="000000" w:themeColor="text1"/>
          <w:sz w:val="24"/>
          <w:szCs w:val="24"/>
          <w14:textFill>
            <w14:solidFill>
              <w14:schemeClr w14:val="tx1"/>
            </w14:solidFill>
          </w14:textFill>
        </w:rPr>
        <w:t>贵金属：静待美国PMI数据公布，贵金属价格尾盘反弹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贵金属价格盘初下跌、尾盘小幅反弹，上周五夜盘，沪金上涨0.47%至618.22元/克，上周累计下跌0.77%；上周五夜盘沪银涨1.06%至7692元/千克，上周累计下跌1.07%。截至11月19日当周，COMEX黄金期货管理基金净多持仓减少10122手至155174手，COMEX白银期货管理基金净多持仓增加1713手至25938手。截至11月29日，SPDR黄金ETF持仓878.55吨，周内流入0.58吨；SLV白银ETF持仓14709.59吨，周内流出90.72吨。美国核心PCE同比回升，黎以停火协议正式生效，地缘冲突的避险情绪降温，后续关注美国ISM11月PMI数据表现以及美联储降息路径，贵金属回落至均线支撑附近企稳，后市或偏强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843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30911"/>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碳酸锂：周度产量维持小幅反弹，主力期价尾盘微涨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期价区间震荡，01合约上周五收涨0.64%，上周累计跌1.81%。碳酸锂周度产量维持小幅反弹。最新当周碳酸锂周度开工率略微上升至约54%；锂辉石提锂开工率上行至约64%，锂云母提锂开工率反弹至约37%，盐湖提锂开工率微跌至约60%。碳酸锂周度库存维持回落，周环比下降0.12%至约10.82万吨；上游库存周环比增加1.84%至约3.45万吨，贸易商等中游环节库存周环比下降2.55%至约4.40万吨，下游库存周环比增加1.35%至约2.97万吨。根据交易所合约设计要求，11月底期货仓单集中注销。近期终端年底冲量以及以旧换新政策等仍支撑正极材料需求表现。磷酸铁锂整体开工率约54%。三元材料开工率约45%。后续存在12月下游排产或环比降约5-10%的预期，但有待验证。消息面因素扰动下留意波动加剧风险，期价或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2273"/>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氧化铝现货价支撑期价难跌，铝价低位震荡实际下方空间有限</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特朗普宣布对华商品加征关税，叠加前期我国取消出口关税优惠，外需市场消费预期走弱，但国内政策仍在内需市场发力释放利好，11月我国PMI数据表现超出预期。</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几内亚铝土矿发运量保持高位，氧化铝厂内原料库存走升，氧化铝现货报价上涨但涨势明显放缓，氧化铝港口库存出现累库或用于出口，国内库存持续去库但去库速率同比放缓，下游电解铝冶炼部分减停但整体保持稳定。核心成本提供铝价支撑，约计30%电解铝冶炼厂家生产亏损，后续部分产能或技改检修，部分复产产能延后开产，下游需求上看，传统线缆消费及新能源消费仍提供支撑，交易所库存去库，社会库存去化放缓。氧化铝基本面年内仍保持供应紧张、需求刚性格局，现货高升水基差大概率发生收敛，短期氧化铝期价仍有收涨可能，电解铝冶炼核心成本抬升情况下，出于利润修复角度，铝价下方空间有限，短期受宏观情绪影响偏弱震荡整理，低多性价比较高。</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6918"/>
      <w:r>
        <w:rPr>
          <w:rFonts w:hint="eastAsia" w:ascii="楷体" w:hAnsi="楷体" w:eastAsia="楷体"/>
          <w:b/>
          <w:color w:val="000000" w:themeColor="text1"/>
          <w:sz w:val="24"/>
          <w:szCs w:val="24"/>
          <w14:textFill>
            <w14:solidFill>
              <w14:schemeClr w14:val="tx1"/>
            </w14:solidFill>
          </w14:textFill>
        </w:rPr>
        <w:t>锌：需求疲软限制锌价上方想象空间</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市场关注特朗普政府及美联储降息节奏，美元指数近期偏强势运行，国内政策持续释放消费利好，宏观情绪扰动反复。海外某大型外企提单导致LME注册仓单快速减少引发市场恐慌，实际LME库存高位挤仓条件有限，伦锌拉涨迅速后回落明显。国内来看，矿端增量释放空间有限，进入冬季部分矿山季节性停产，TC加工费低位回升，地区间现货升贴水差异明显，整体来看现货升水幅度敛，表示下游对高价锌接受度较低，目前需求在淡季没有明显改善，但刚需依旧保持韧性。</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锌市供需两弱格局未改，前期涨幅较充分消化供应紧张预期，临近年关下游需求提振空间相对有限，目前高价锌的市场接受度较低，套保操作可以逢高卖出。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0134"/>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：震荡偏多</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(1)宏观：中国11月官方制造业PMI为50.3，连续三个月扩张，非制造业景气水平小幅回落。</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(2)库存：11月29日，SHFE仓单库存21201吨，日减1275吨；SHFE周库存108775吨，较上周五减11461吨；LME仓单库存271000吨，日增475吨。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(3)精废价差：11月29日，Mysteel精废价差1223，收窄50。目前价差在合理价差1442之下。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海外特朗普交易短期难以进一步强化，美元指数或呈高位震荡，整体有色压力有所缓解。国内方面，进入12月，政策小作文主导市场情绪，重点关注经济工作会议中政策态度和思路。基本面，国内库存继续去化，叠加废铜偏紧精废差低位下，精铜对废铜存替代效应，短期价格有望企稳反弹，价格波动参考73500-75500元。操作上，生产企业逢低逐步在原料端锁价。</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6631"/>
      <w:r>
        <w:rPr>
          <w:rFonts w:hint="eastAsia" w:ascii="楷体" w:hAnsi="楷体" w:eastAsia="楷体"/>
          <w:b/>
          <w:color w:val="000000" w:themeColor="text1"/>
          <w:sz w:val="24"/>
          <w:szCs w:val="24"/>
          <w14:textFill>
            <w14:solidFill>
              <w14:schemeClr w14:val="tx1"/>
            </w14:solidFill>
          </w14:textFill>
        </w:rPr>
        <w:t>镍：维持逢高沽空思路，关注印尼RKAB重新审查情况</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元指数强弱变化影响宏观氛围，关注特朗普关税政策后续具体情况；12月中旬中央经济工作会议前，政策小作文传闻或带来情绪脉冲。消息方面，据路透社11月29日消息，印尼一名高级矿业官员表示，该国将对已发布的RKAB（镍矿审批配额）重新审查矿商们是否遵守环境规则及其他规定，以努力确保镍矿储量的可持续性，需关注后续进展。镍矿方面，印尼镍矿价格承压下行，印尼镍矿商协会APNI发布的12月不同品味的镍矿内贸基准价格较上月跌2.2-3.4美元/湿吨；菲律宾镍矿处于雨季，镍矿处于封盘暂停报价状态。供需方面，精炼镍企业寻求海外交仓利润，因此国内现货资源略有收紧，镍下游需求整体维持清淡，过剩格局仍是基本面主线，上周海内外库存皆累库。综合而言，镍基本面维持弱势，短期宏观跟随美元指数及国内政策传闻而波动，印尼重新审查RKAB镍矿商合规性的消息或带来一定利好情绪，但重点是后续具体实施情况，预计短期镍价区间震荡运行，运行区间参考122000-130000，操作上建议区间上沿沽空。</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6131"/>
      <w:r>
        <w:rPr>
          <w:rFonts w:hint="eastAsia" w:ascii="楷体" w:hAnsi="楷体" w:eastAsia="楷体"/>
          <w:b/>
          <w:color w:val="000000" w:themeColor="text1"/>
          <w:sz w:val="24"/>
          <w:szCs w:val="24"/>
          <w14:textFill>
            <w14:solidFill>
              <w14:schemeClr w14:val="tx1"/>
            </w14:solidFill>
          </w14:textFill>
        </w:rPr>
        <w:t>锡：偏震荡企稳</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海外特朗普交易短期难以进一步强化，美元指数或呈高位震荡，整体有色压力有所缓解。国内方面，进入12月，政策小作文主导市场情绪，重点关注经济工作会议中政策态度和思路。基本面，10月锡矿进口同比-40%，环比+90%，鉴于缅甸佤邦锡矿的进口状况仍存在不确定性，且冶炼厂的原料供应问题日益凸显，仍需密切关注原料市场的最新动态。近期锡价下跌后刺激下游补库需求增加，上周国内锡锭社会库存大幅减少984吨至7846吨，库存压力进一步缓解。预计锡价相对低位下偏震荡企稳，波动参考23.5-24.5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9862"/>
      <w:r>
        <w:rPr>
          <w:rFonts w:hint="eastAsia" w:ascii="楷体" w:hAnsi="楷体" w:eastAsia="楷体"/>
          <w:b/>
          <w:color w:val="000000" w:themeColor="text1"/>
          <w:sz w:val="24"/>
          <w:szCs w:val="24"/>
          <w14:textFill>
            <w14:solidFill>
              <w14:schemeClr w14:val="tx1"/>
            </w14:solidFill>
          </w14:textFill>
        </w:rPr>
        <w:t>铅：氧化铝现货价支撑期价难跌，铝价低位震荡实际下方空间有限</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特朗普宣布对华产品加征关税，国内出口消费预期承压，市场情绪较弱。海外铝土矿有美铝减停、几内亚GAC停矿等消息影响，国内铝土矿在本身供应偏紧的情况下，进入冬季环保限产矿产供应或进一步压缩，氧化铝现货报价持续攀升，电解铝核心成本抬升明显，高成本生产地区冶炼亏损，目前电解铝运行产能及产出保持高位，社库库存保持低位，下游需求来看，线缆开工及新能源消费板块需求改善明显，传统消费仍为拖累项。氧化铝现货价格涨势放缓，持续关注现货端支撑情况，目前在成本高企的状态下部分电解铝冶炼企业亏损，后续或有供应端缩量，在利润修复驱动下，铝市低多配置为主。</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459"/>
      <w:r>
        <w:rPr>
          <w:rFonts w:hint="eastAsia" w:ascii="楷体" w:hAnsi="楷体" w:eastAsia="楷体"/>
          <w:b/>
          <w:color w:val="000000" w:themeColor="text1"/>
          <w:sz w:val="24"/>
          <w:szCs w:val="24"/>
          <w14:textFill>
            <w14:solidFill>
              <w14:schemeClr w14:val="tx1"/>
            </w14:solidFill>
          </w14:textFill>
        </w:rPr>
        <w:t>不锈钢：低位震荡，关注减产情况</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方面，据路透社11月29日消息，印尼一名高级矿业官员表示，该国将对已发布的RKAB（镍矿审批配额）重新审查矿商们是否遵守环境规则及其他规定，以努力确保镍矿储量的可持续性，需关注后续进展。镍矿方面，印尼镍矿价格承压下行，印尼镍矿商协会APNI发布的12月不同品味的镍矿内贸基准价格较上月跌2.2-3.4美元/湿吨。原料方面，负反馈压力下，近期高镍铁采购价（到厂含税）处于960-975元/镍水平；青山集团12月高碳铬铁长协采购价环比下跌700元至7395元/50基吨；青拓钢水304报价跌500报至9100元/吨。据钢联数据，外购高镍铁生产304冷轧不锈钢的现金成本为13137元/吨。供需方面，下游对后市心态仍偏悲观，不过不锈钢低价使下游刚需补库有所释放，近期多家钢厂传言减产，但减产力度相对有限，如华东S钢厂计划12月因电路系统问题计划检修10-15天，本次停产预计影响产量3-4万吨，以304为主；江苏某钢厂12月份计划减产1万吨。社会库存方面，上周不锈钢89仓库口径社会总库存936756吨，周环比减3.49%。综合而言，近期镍铁、高碳铬铁及废不锈钢价格皆大幅下跌，成本支撑坍塌，不过减产传言带来一定供需好转预期，预计期价低位震荡，价格反弹动能需要看到减产量级扩大、原料价格企稳或印尼镍矿消息进一步发酵，主要运行区间参考12800-13500。</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3100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北方大厂减产超预期，有望提振市场情绪</w:t>
      </w:r>
      <w:bookmarkEnd w:id="27"/>
    </w:p>
    <w:p>
      <w:pPr>
        <w:ind w:left="630" w:leftChars="300"/>
        <w:rPr>
          <w:rFonts w:ascii="楷体" w:hAnsi="楷体" w:eastAsia="楷体"/>
          <w:sz w:val="24"/>
          <w:szCs w:val="24"/>
        </w:rPr>
      </w:pPr>
      <w:r>
        <w:rPr>
          <w:rFonts w:hint="eastAsia" w:ascii="楷体" w:hAnsi="楷体" w:eastAsia="楷体"/>
          <w:sz w:val="24"/>
          <w:szCs w:val="24"/>
        </w:rPr>
        <w:t>11月29日，Si2501主力合约呈大幅反弹，收盘价12405元/吨，较上一收盘价涨跌幅＋4.11%。继石河子启动重污染预警引发市场对于当地工厂减产担忧后，再度传出大厂鄯善工厂即将减产，目前已经逐步落实减产操作，超市场预期，或将对提振市场情绪，在盘面估值水平不高的情况下，短期盘面或仍有反弹。策略上，可尝试逢低做多机会，若有多单可继续持有。</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20675"/>
      <w:r>
        <w:rPr>
          <w:rFonts w:hint="eastAsia" w:ascii="楷体" w:hAnsi="楷体" w:eastAsia="楷体"/>
          <w:b/>
          <w:color w:val="000000" w:themeColor="text1"/>
          <w:sz w:val="24"/>
          <w:szCs w:val="24"/>
          <w14:textFill>
            <w14:solidFill>
              <w14:schemeClr w14:val="tx1"/>
            </w14:solidFill>
          </w14:textFill>
        </w:rPr>
        <w:t>螺纹钢：供需压力未改善，维持震荡看待</w:t>
      </w:r>
      <w:bookmarkEnd w:id="28"/>
    </w:p>
    <w:p>
      <w:pPr>
        <w:ind w:left="630" w:leftChars="300"/>
        <w:rPr>
          <w:rFonts w:ascii="楷体" w:hAnsi="楷体" w:eastAsia="楷体"/>
          <w:sz w:val="24"/>
          <w:szCs w:val="24"/>
        </w:rPr>
      </w:pPr>
      <w:r>
        <w:rPr>
          <w:rFonts w:hint="eastAsia" w:ascii="楷体" w:hAnsi="楷体" w:eastAsia="楷体"/>
          <w:sz w:val="24"/>
          <w:szCs w:val="24"/>
        </w:rPr>
        <w:t>11月29日，RB2501夜盘收至3306元/吨，较上一收盘价涨跌幅-0.36%。从基本面来看，上周螺纹钢产量延续下降，市场传闻多家钢厂12月份将开启检修，后续供应或将继续下降，随着淡季深入，需求或将维持季节性走弱，现货总库存去化明显放缓，供需压力暂未出现明显改善，盘面反弹压力仍存，但政策预期偏积极情况下，后续下跌空间也有限，维持震荡看待。</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7917"/>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2604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原料回暖 天胶偏强运行为主</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由于近期雨水天气阶段性较多，各胶种价格有所回暖，天胶成本支撑尚可。港口库存方面，本周青岛港口持稳。下游需求方面，近期全钢胎部分生产企业安排检修，另外月初部分企业出货节奏放缓；半钢轮胎企业排产稳定，雪地胎排产逐步收尾，四季胎部分规格缺口尚存，企业维持高开工状态。整体看，尽管四季度橡胶在基本面供小于求的支撑下以偏多头思路看待，但仍需持续关注东南亚主产区短期降水问题和供应旺季上量情况。近期基本面变动不大，前期传闻的抛出利空影响相对有限，原料价格回暖，预计短时天然橡胶价格偏强运行当中。</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27757"/>
      <w:r>
        <w:rPr>
          <w:rFonts w:hint="eastAsia" w:ascii="Times New Roman" w:hAnsi="Times New Roman" w:eastAsia="楷体"/>
          <w:b/>
          <w:color w:val="000000" w:themeColor="text1"/>
          <w:sz w:val="24"/>
          <w:szCs w:val="24"/>
          <w14:textFill>
            <w14:solidFill>
              <w14:schemeClr w14:val="tx1"/>
            </w14:solidFill>
          </w14:textFill>
        </w:rPr>
        <w:t>聚烯烃：供需矛盾不明显 维持区间震荡表现为主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市场对以色列-真主党冲突的石油供应风险缓解和对2025年增加供应的前景担忧，欧美原油期货下跌，聚烯烃成本支撑一般。近期聚烯烃开工波动幅度不大，库存方面，PE本周库存环比出现小幅累库，PP小幅去库。PE下游农膜已过最旺季节，开工有所下滑，PP下游BOPP与塑编开工持稳。当前基本面压力不大，预计聚烯烃维持区间整理。</w:t>
      </w:r>
    </w:p>
    <w:p>
      <w:pPr>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14848"/>
      <w:r>
        <w:rPr>
          <w:rFonts w:hint="eastAsia" w:ascii="Times New Roman" w:hAnsi="Times New Roman" w:eastAsia="楷体"/>
          <w:b/>
          <w:color w:val="000000" w:themeColor="text1"/>
          <w:sz w:val="24"/>
          <w:szCs w:val="24"/>
          <w14:textFill>
            <w14:solidFill>
              <w14:schemeClr w14:val="tx1"/>
            </w14:solidFill>
          </w14:textFill>
        </w:rPr>
        <w:t>PTA：供需转弱预期 跟随成本端下行</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中东方面传出以色列和黎巴嫩就结束冲突达成一致，地缘冲突缓和。据最新消息来看，OPEC+会议结果大概率中性或偏空，油价承压。PX 近期开工率有所下滑，面临年度长约签订及PTA开工高位，短线仍有支撑。本周仪化300万吨PTA装置恢复正常，东营威联250万吨PTA装置重启中，PTA负荷提升至84.8%  （+3.4%）。11月下半月PTA前期检修装置开工恢复。在当前加工费下，PTA后续装置检修计划较少，12月整体供应偏宽松。下游聚酯方面本期一套瓶片装置检修，其他装置负荷微调，截至11.28初步核算国内大陆地区聚酯负荷在92.1%附近，开工高位回落。综合来看，近期PTA大幅增仓下行，终端开工趋弱供增需减，交割库累库现货供应偏宽松，跟随成本端偏弱运行，2501运行区间4700-5000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4" w:name="_Toc12806"/>
      <w:r>
        <w:rPr>
          <w:rFonts w:hint="eastAsia" w:ascii="Times New Roman" w:hAnsi="Times New Roman" w:eastAsia="楷体"/>
          <w:b/>
          <w:color w:val="000000" w:themeColor="text1"/>
          <w:sz w:val="24"/>
          <w:szCs w:val="24"/>
          <w14:textFill>
            <w14:solidFill>
              <w14:schemeClr w14:val="tx1"/>
            </w14:solidFill>
          </w14:textFill>
        </w:rPr>
        <w:t>乙二醇：供应恢复及终端趋弱 二醇走势承压</w:t>
      </w:r>
      <w:bookmarkEnd w:id="34"/>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港口库存数据表明，11.18华东主港地区MEG港口库存约62.8万吨附近，环比上周+3.2万吨，截至11月28日，中国大陆地区乙二醇整体开工负荷在73.25%（+0.66%），其中草酸催化加氢法（合成气）制乙二醇开工负荷在73.85%（+3.91%）。本周来看，中化学30万吨装置周内已顺利出料，后续负荷继续提升；美锦(30万吨)及华谊(20万吨)重启后负荷稳步提升运行中，本周合成气制MEG负荷升至74%偏上水平。中昆（60万吨）及榆能化（40万吨）预计12月恢复生产，乙二醇整体供应呈现增量，供应压力将逐步兑现。下游聚酯开工情况来看，聚酯端负荷小幅回落，截至11.28初步核算国内大陆地区聚酯负荷在92.1%附近。终端开工情况来看，截止11.28江浙下游加弹、织造、印染负荷分别在89%（-2%）、71%（-2%）、81%（-2%），开工下降明显，坯布环节累库。综合来看，近期到港集中海外供应逐渐恢复，内盘煤化工装置开工重启，后续乙二醇国产量将逐步增加，且下游开工高位不持续，12月转累库预期，乙二醇上行驱动不足，暂维持宽幅震荡格局。</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5" w:name="_Toc22181"/>
      <w:r>
        <w:rPr>
          <w:rFonts w:hint="eastAsia" w:ascii="Times New Roman" w:hAnsi="Times New Roman" w:eastAsia="楷体"/>
          <w:b/>
          <w:color w:val="823C0B"/>
          <w:sz w:val="30"/>
          <w:szCs w:val="30"/>
        </w:rPr>
        <w:t>[农产品]</w:t>
      </w:r>
      <w:bookmarkEnd w:id="14"/>
      <w:bookmarkEnd w:id="35"/>
    </w:p>
    <w:p>
      <w:pPr>
        <w:pStyle w:val="93"/>
        <w:spacing w:before="60" w:beforeAutospacing="0" w:after="60" w:afterAutospacing="0"/>
        <w:ind w:left="420" w:leftChars="200"/>
        <w:outlineLvl w:val="1"/>
        <w:rPr>
          <w:rFonts w:hint="eastAsia" w:ascii="楷体" w:hAnsi="楷体" w:eastAsia="楷体"/>
          <w:b/>
        </w:rPr>
      </w:pPr>
      <w:bookmarkStart w:id="36" w:name="_Toc30175"/>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周末现货稳中偏弱</w:t>
      </w:r>
      <w:bookmarkEnd w:id="36"/>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周末表现分化，华北产区涨跌互现，东北产区稳中有跌，北方港口持稳，盘面期价周五夜盘震荡运行。对于玉米而言，近期持续震荡回落主要源于期价升水，而现货未能给予正向反馈，导致期价回落来修复基差。考虑到西北、华北与东北产区新作上市压力已经逐步释放，分区域来看，后期天气改善有利于保存，及其国家增储动作频频，有望带动东北产区玉米止跌甚至反弹，而东北-华北玉米价差和产销区价差收窄即倒挂之后，供应/渠道库存下滑将抑制现货继续走弱，在基差修复之后，期价下方空间亦有限。综上所述，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玉米价差表现分化，近月走扩而远月收窄，或更多源于远月仓位变动所致，在影响淀粉-玉米价差的三方面因素继续偏空的可能性不大，考虑到淀粉基差高企，而盘面生产利润大多亏损，我们倾向于淀粉-玉米价差收窄空间受限。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5983"/>
      <w:r>
        <w:rPr>
          <w:rFonts w:hint="eastAsia" w:ascii="楷体" w:hAnsi="楷体" w:eastAsia="楷体"/>
          <w:b/>
          <w:bCs/>
          <w:color w:val="000000" w:themeColor="text1"/>
          <w14:textFill>
            <w14:solidFill>
              <w14:schemeClr w14:val="tx1"/>
            </w14:solidFill>
          </w14:textFill>
        </w:rPr>
        <w:t>畜禽养殖：生猪现货周末回落</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周末出现小幅回落，涌益咨询数据显示，全国均价较上周五下跌0.16元/公斤。对于生猪而言，从期价远期贴水结构可以看出，市场对生猪市场远期供需改善预期较为一致，这可以从若干方面得到印证，包括能繁母猪存栏见底回升，猪料产量环比增加等。随着期价的持续回落，市场分歧转向当前期价是否已经反映现货下跌预期，因目前最低的3月合约已经跌至过去两年春节前后低点14元/公斤下方。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虽然国内气温下降，需求有所改善，但由于市场对春节后猪价的悲观预期（体现在2503合约大幅贴水上），加上过去两年春节前下跌的阴影，养殖户倾向于提前出栏以规避节后下跌风险。在这种情况下，短期重点留意需求季节性改善情况，中期机会在于供需预期偏差。综上所述，我们维持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周末稳中有涨，湖北浠水报价维持不变。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但考虑12月合约已进入交割月，而1月合约可能转而反映节后现货价格，建议投资者维持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524"/>
      <w:r>
        <w:rPr>
          <w:rFonts w:hint="eastAsia" w:ascii="楷体" w:hAnsi="楷体" w:eastAsia="楷体"/>
          <w:b/>
          <w:bCs/>
          <w:color w:val="000000" w:themeColor="text1"/>
          <w14:textFill>
            <w14:solidFill>
              <w14:schemeClr w14:val="tx1"/>
            </w14:solidFill>
          </w14:textFill>
        </w:rPr>
        <w:t>白糖：近月震荡偏强</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外盘，ICE原糖11号主力合约下跌1.31%，伦敦白砂糖主力合约下跌1.41%。周五夜盘郑糖2501主力合约下跌0.47%。巴西甘蔗行业协会(Unica)数据显示，11月上半月巴西中南部地区压榨甘蔗1646万吨，同比下降52.81%;产糖89.8万吨，同比下降59.18%;乙醇产量同比下降35.16%，至10.59亿升。糖厂使用43%的甘蔗比例产糖，上榨季同期为50.02%。</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24/25榨季截至11月16日中南部累计压榨甘蔗5.82607亿吨，同比减少2.24%;累计产糖3827.4万吨，同比减少3.04%;累计产乙醇299.15亿升，同比增加4.5%;糖厂使用48.45%的甘蔗比例产糖，上榨季同期为49.44%。01合约正式突破6000关口，资金推动下偏强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lang w:eastAsia="zh-CN"/>
          <w14:textFill>
            <w14:solidFill>
              <w14:schemeClr w14:val="tx1"/>
            </w14:solidFill>
          </w14:textFill>
        </w:rPr>
      </w:pPr>
      <w:bookmarkStart w:id="39" w:name="_Toc11883"/>
      <w:r>
        <w:rPr>
          <w:rFonts w:hint="eastAsia" w:ascii="楷体" w:hAnsi="楷体" w:eastAsia="楷体"/>
          <w:b/>
          <w:bCs/>
          <w:color w:val="000000" w:themeColor="text1"/>
          <w14:textFill>
            <w14:solidFill>
              <w14:schemeClr w14:val="tx1"/>
            </w14:solidFill>
          </w14:textFill>
        </w:rPr>
        <w:t>棉花：</w:t>
      </w:r>
      <w:r>
        <w:rPr>
          <w:rFonts w:hint="eastAsia" w:ascii="楷体" w:hAnsi="楷体" w:eastAsia="楷体"/>
          <w:b/>
          <w:bCs/>
          <w:color w:val="000000" w:themeColor="text1"/>
          <w:lang w:val="en-US" w:eastAsia="zh-CN"/>
          <w14:textFill>
            <w14:solidFill>
              <w14:schemeClr w14:val="tx1"/>
            </w14:solidFill>
          </w14:textFill>
        </w:rPr>
        <w:t>外盘继续走强，郑棉偏强震荡</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隔周外盘，ICE期棉主力03合约上涨0.42%。周五夜盘郑棉2501主力合约上涨0.04_%。据 Mysteel 农产品数据监测，截至11月28日，主流地区纺企开机负荷为67.1%，环比降幅1.90%，降至1年低点。下游进入淡季，织厂和布厂开机率已下滑至年度低点，淡季极淡。但价格已处于历史低位，利空已逐步被消化。预计郑棉偏强震荡，尝试收复1.4万关口。</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5707"/>
      <w:r>
        <w:rPr>
          <w:rFonts w:hint="eastAsia" w:ascii="楷体" w:hAnsi="楷体" w:eastAsia="楷体"/>
          <w:b/>
          <w:bCs/>
          <w:color w:val="000000" w:themeColor="text1"/>
          <w14:textFill>
            <w14:solidFill>
              <w14:schemeClr w14:val="tx1"/>
            </w14:solidFill>
          </w14:textFill>
        </w:rPr>
        <w:t>蛋白粕：需求无起色，偏弱对待</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上周五外盘美豆上涨0.20%，国内夜盘豆二下跌0.42%，豆粕下跌0.54%；菜籽下跌0.20%，菜粕下跌0.17%。战略谷物周五表示，在恶劣天气导致今年欧盟菜籽减产后，明年产量将大幅增加。国内方面，尽管11月大豆卸港延迟，但供应压力仍存，或反映在12月及明年1月。豆粕需求略有好转，小幅去库，但无太大起色，依旧偏弱对待。菜粕由于水产养殖淡季，需求更弱。</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6679"/>
      <w:r>
        <w:rPr>
          <w:rFonts w:hint="eastAsia" w:ascii="楷体" w:hAnsi="楷体" w:eastAsia="楷体"/>
          <w:b/>
          <w:bCs/>
          <w:color w:val="000000" w:themeColor="text1"/>
          <w14:textFill>
            <w14:solidFill>
              <w14:schemeClr w14:val="tx1"/>
            </w14:solidFill>
          </w14:textFill>
        </w:rPr>
        <w:t>油脂类：油脂走势分化，棕油依旧强劲</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上周五夜盘豆油下跌0.10%，菜油下跌1.00%，棕榈油上涨1.43%，油脂走势分化。棕油东南亚主产国部分地区遭遇严重洪水，影响收割和运输。印尼再强调实施B40，坚定市场信心。机构预计11月马棕油库存环比下降175-180万吨，供应偏紧。众多利多信息支撑棕油期价。菜油方面，11月29日外交部回应中国计划申请加入CPTPP问题，而今年主席国是加拿大，或预示中加关系缓和。回归基本面，菜油供应充足，库存累积，故跌幅较大。</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2" w:name="_Toc23755"/>
      <w:r>
        <w:rPr>
          <w:rFonts w:hint="eastAsia" w:ascii="Times New Roman" w:hAnsi="Times New Roman" w:eastAsia="楷体"/>
          <w:b/>
          <w:color w:val="823C0B"/>
          <w:sz w:val="30"/>
          <w:szCs w:val="30"/>
        </w:rPr>
        <w:t>[指数]</w:t>
      </w:r>
      <w:bookmarkEnd w:id="42"/>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3" w:name="_Toc10791"/>
      <w:r>
        <w:rPr>
          <w:rFonts w:hint="eastAsia" w:ascii="Times New Roman" w:hAnsi="Times New Roman" w:eastAsia="楷体"/>
          <w:b/>
          <w:color w:val="000000" w:themeColor="text1"/>
          <w:sz w:val="24"/>
          <w:szCs w:val="24"/>
          <w14:textFill>
            <w14:solidFill>
              <w14:schemeClr w14:val="tx1"/>
            </w14:solidFill>
          </w14:textFill>
        </w:rPr>
        <w:t>集运指数（欧线）：运价指数上涨，期价下跌</w:t>
      </w:r>
      <w:bookmarkEnd w:id="43"/>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上周五主力02合约跌5.57%至2546.0，上周累计下跌21.43%。即期运价走势方面，11月29日，上海航运交易所发布的上海出口集装箱综合运价指数为2233.83点，较上期上涨3.4%。11月29日，上海港出口至欧洲基本港市场运价（海运及海运附加费）为3039美元/TEU，较上期上涨22.5%。11月29日，上海港出口至地中海基本港市场运价（海运及海运附加费）为3682美元/TEU，较上期上涨19.9%。欧元区11月经济景气指数为95.8，略好于前值及市场预期，但因后续或面临美国加征关税影响，欧洲经济未来或仍面临走弱风险。市场供需整体平稳，据外媒消息黎以停火协议正式生效，地缘避险情绪降温，复航预期回温但短期内可能性仍较低；12月提涨有待验证、部分船司12月中旬附近报价有所下调，短线期价或宽幅震荡，建议谨慎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4" w:name="_Toc71212556"/>
      <w:bookmarkStart w:id="45" w:name="_Toc19667"/>
      <w:bookmarkStart w:id="46" w:name="_Toc12779"/>
      <w:bookmarkStart w:id="47" w:name="_Toc72481108"/>
      <w:bookmarkStart w:id="48" w:name="_Toc98426751"/>
      <w:r>
        <w:rPr>
          <w:rFonts w:ascii="Times New Roman" w:hAnsi="Times New Roman" w:eastAsia="楷体"/>
          <w:b/>
          <w:color w:val="411D05"/>
          <w:sz w:val="30"/>
          <w:szCs w:val="30"/>
        </w:rPr>
        <w:t>免责声明</w:t>
      </w:r>
      <w:bookmarkEnd w:id="44"/>
      <w:bookmarkEnd w:id="45"/>
      <w:bookmarkEnd w:id="46"/>
      <w:bookmarkEnd w:id="47"/>
      <w:bookmarkEnd w:id="48"/>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2024年12月2日星期一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68244E"/>
    <w:rsid w:val="01954D8D"/>
    <w:rsid w:val="02C011BF"/>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0E1A53"/>
    <w:rsid w:val="0B42525D"/>
    <w:rsid w:val="0BF11AD7"/>
    <w:rsid w:val="0C1F7DEE"/>
    <w:rsid w:val="0C88769D"/>
    <w:rsid w:val="0CDE660D"/>
    <w:rsid w:val="0D032A7C"/>
    <w:rsid w:val="0DAF662C"/>
    <w:rsid w:val="0DB77106"/>
    <w:rsid w:val="0DCE2D64"/>
    <w:rsid w:val="0E20128F"/>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A2382D"/>
    <w:rsid w:val="15D52593"/>
    <w:rsid w:val="1626611D"/>
    <w:rsid w:val="16E2497F"/>
    <w:rsid w:val="17A736B0"/>
    <w:rsid w:val="18A2004D"/>
    <w:rsid w:val="18B034BC"/>
    <w:rsid w:val="19415809"/>
    <w:rsid w:val="197E6634"/>
    <w:rsid w:val="1B7329E7"/>
    <w:rsid w:val="1B8A2034"/>
    <w:rsid w:val="1BB46C31"/>
    <w:rsid w:val="1BC72FF7"/>
    <w:rsid w:val="1C161355"/>
    <w:rsid w:val="1CFF262F"/>
    <w:rsid w:val="1D03226A"/>
    <w:rsid w:val="1D5030CD"/>
    <w:rsid w:val="1D876087"/>
    <w:rsid w:val="1DF54295"/>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86F44E9"/>
    <w:rsid w:val="2916719E"/>
    <w:rsid w:val="293961B5"/>
    <w:rsid w:val="29A303B9"/>
    <w:rsid w:val="2AF03172"/>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42021E"/>
    <w:rsid w:val="34A75784"/>
    <w:rsid w:val="3581551C"/>
    <w:rsid w:val="35947F79"/>
    <w:rsid w:val="35D65FDD"/>
    <w:rsid w:val="35DB50B3"/>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DD1666"/>
    <w:rsid w:val="40E44318"/>
    <w:rsid w:val="40F15753"/>
    <w:rsid w:val="41F950F8"/>
    <w:rsid w:val="428A4A5E"/>
    <w:rsid w:val="42EB3BA1"/>
    <w:rsid w:val="42F51780"/>
    <w:rsid w:val="43F11831"/>
    <w:rsid w:val="43F63E0D"/>
    <w:rsid w:val="44092E2E"/>
    <w:rsid w:val="441077D2"/>
    <w:rsid w:val="44396064"/>
    <w:rsid w:val="445F7588"/>
    <w:rsid w:val="458C38B3"/>
    <w:rsid w:val="459609D9"/>
    <w:rsid w:val="45A37566"/>
    <w:rsid w:val="45B634E5"/>
    <w:rsid w:val="45CF0A85"/>
    <w:rsid w:val="45F224BA"/>
    <w:rsid w:val="46020C32"/>
    <w:rsid w:val="46194A11"/>
    <w:rsid w:val="461E2AF1"/>
    <w:rsid w:val="47404F8E"/>
    <w:rsid w:val="47752ACA"/>
    <w:rsid w:val="477D75D8"/>
    <w:rsid w:val="47A71483"/>
    <w:rsid w:val="47C813F2"/>
    <w:rsid w:val="48352178"/>
    <w:rsid w:val="489B63EF"/>
    <w:rsid w:val="48D7317F"/>
    <w:rsid w:val="48F92B23"/>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09613D"/>
    <w:rsid w:val="5AD37D8A"/>
    <w:rsid w:val="5AF87BF9"/>
    <w:rsid w:val="5B0F1B49"/>
    <w:rsid w:val="5B906095"/>
    <w:rsid w:val="5BC6560B"/>
    <w:rsid w:val="5BF60A75"/>
    <w:rsid w:val="5C813B75"/>
    <w:rsid w:val="5C8C1D8E"/>
    <w:rsid w:val="5C9F2D01"/>
    <w:rsid w:val="5D3F3466"/>
    <w:rsid w:val="5D5617A6"/>
    <w:rsid w:val="5D716329"/>
    <w:rsid w:val="5EA23F15"/>
    <w:rsid w:val="5EA7685B"/>
    <w:rsid w:val="5ED40954"/>
    <w:rsid w:val="5EFA4E95"/>
    <w:rsid w:val="5F0963C1"/>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204308"/>
    <w:rsid w:val="67655BF9"/>
    <w:rsid w:val="678C3343"/>
    <w:rsid w:val="67C6389B"/>
    <w:rsid w:val="685D4EEE"/>
    <w:rsid w:val="68AE1587"/>
    <w:rsid w:val="68CC4906"/>
    <w:rsid w:val="68D53E8D"/>
    <w:rsid w:val="69605268"/>
    <w:rsid w:val="699C76C5"/>
    <w:rsid w:val="6A194855"/>
    <w:rsid w:val="6A2F056E"/>
    <w:rsid w:val="6A7219A6"/>
    <w:rsid w:val="6B292599"/>
    <w:rsid w:val="6D847D4D"/>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4E268CD"/>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 w:val="7FE1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2024-12-02T02:00:41Z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